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509A" w:rsidP="004C2FAF">
      <w:pPr>
        <w:pBdr>
          <w:top w:val="single" w:sz="4" w:space="1" w:color="auto"/>
          <w:left w:val="single" w:sz="4" w:space="4" w:color="auto"/>
          <w:bottom w:val="single" w:sz="4" w:space="1" w:color="auto"/>
          <w:right w:val="single" w:sz="4" w:space="4" w:color="auto"/>
        </w:pBdr>
        <w:ind w:left="-142" w:right="-199"/>
        <w:jc w:val="both"/>
        <w:rPr>
          <w:szCs w:val="24"/>
        </w:rPr>
      </w:pPr>
      <w:r w:rsidRPr="00BB3088">
        <w:rPr>
          <w:szCs w:val="24"/>
        </w:rPr>
        <w:t xml:space="preserve">Revisão </w:t>
      </w:r>
      <w:r w:rsidRPr="007F497D">
        <w:rPr>
          <w:szCs w:val="24"/>
        </w:rPr>
        <w:t>de final de período da medida antidumping aplicada sobre as importações brasileiras de resina de polipropileno, comumente classificadas nos itens 3902.10.20 e 3902.30.00 da Nomenclatura Comum do Mercosul – NCM, originárias da República da África do Sul, da República da Coreia (Coreia do Sul) e da República da Índia</w:t>
      </w:r>
      <w:r w:rsidR="0044145F" w:rsidRPr="00BA7B70">
        <w:rPr>
          <w:szCs w:val="24"/>
        </w:rPr>
        <w:t>, e de dano à indústria doméstica decorrente de tal prática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509A" w:rsidRPr="0097509A" w:rsidRDefault="00033448" w:rsidP="0097509A">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w:t>
      </w:r>
      <w:r w:rsidRPr="0097509A">
        <w:rPr>
          <w:szCs w:val="24"/>
        </w:rPr>
        <w:t xml:space="preserve">Administrativo SECEX </w:t>
      </w:r>
      <w:r w:rsidR="0097509A" w:rsidRPr="0097509A">
        <w:rPr>
          <w:szCs w:val="24"/>
        </w:rPr>
        <w:t>[52272.003143/2019-95]</w:t>
      </w:r>
    </w:p>
    <w:p w:rsidR="00972DF0" w:rsidRPr="0097509A" w:rsidRDefault="0097509A" w:rsidP="0097509A">
      <w:pPr>
        <w:pBdr>
          <w:top w:val="single" w:sz="4" w:space="1" w:color="auto"/>
          <w:left w:val="single" w:sz="4" w:space="4" w:color="auto"/>
          <w:bottom w:val="single" w:sz="4" w:space="1" w:color="auto"/>
          <w:right w:val="single" w:sz="4" w:space="4" w:color="auto"/>
        </w:pBdr>
        <w:ind w:left="-142" w:right="-199"/>
        <w:jc w:val="center"/>
        <w:rPr>
          <w:szCs w:val="24"/>
        </w:rPr>
      </w:pPr>
      <w:r w:rsidRPr="0097509A">
        <w:rPr>
          <w:szCs w:val="24"/>
        </w:rPr>
        <w:t>Contato: (+55 61) 2027-8264/9300 ou [resinapp@mdic.gov.br]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w:t>
      </w:r>
      <w:r w:rsidR="006B048A">
        <w:rPr>
          <w:szCs w:val="24"/>
        </w:rPr>
        <w:t xml:space="preserve">revisão da medida antidumping aplicada sobre as importações de </w:t>
      </w:r>
      <w:r w:rsidR="0097509A" w:rsidRPr="007F497D">
        <w:rPr>
          <w:szCs w:val="24"/>
        </w:rPr>
        <w:t>resina de polipropileno, comumente classificadas nos itens 3902.10.20 e 3902.30.00 da Nomenclatura Comum do Mercosul – NCM, originárias da República da África do Sul, da República da Coreia (Coreia do Sul) e da República da Índia</w:t>
      </w:r>
      <w:r w:rsidR="0097509A" w:rsidRPr="00BB3088">
        <w:rPr>
          <w:szCs w:val="24"/>
        </w:rPr>
        <w:t>, e de dano à indústria doméstica decorrente de tal prática</w:t>
      </w: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lastRenderedPageBreak/>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97509A" w:rsidRDefault="00427F90" w:rsidP="008A4874">
      <w:pPr>
        <w:jc w:val="both"/>
        <w:rPr>
          <w:szCs w:val="24"/>
        </w:rPr>
      </w:pPr>
      <w:r w:rsidRPr="00BA7B70">
        <w:rPr>
          <w:b/>
          <w:szCs w:val="24"/>
        </w:rPr>
        <w:t>i)</w:t>
      </w:r>
      <w:r w:rsidRPr="00BA7B70">
        <w:rPr>
          <w:b/>
          <w:color w:val="FF0000"/>
          <w:szCs w:val="24"/>
        </w:rPr>
        <w:tab/>
      </w:r>
      <w:r w:rsidR="0097509A" w:rsidRPr="0097509A">
        <w:rPr>
          <w:szCs w:val="24"/>
        </w:rPr>
        <w:t>Resina de polipropileno (resina de PP), comumente classificadas nos itens 3902.10.20 e 3902.30.00 da Nomenclatura Comum do Mercosul – NCM, originárias da República da África do Sul, da República da Coreia (Coreia do Sul) e da República da Índia para o Brasil.</w:t>
      </w:r>
    </w:p>
    <w:p w:rsidR="00427F90" w:rsidRDefault="00427F90" w:rsidP="004C2FAF">
      <w:pPr>
        <w:ind w:left="-142" w:right="-199"/>
        <w:jc w:val="both"/>
        <w:rPr>
          <w:szCs w:val="24"/>
        </w:rPr>
      </w:pPr>
    </w:p>
    <w:p w:rsidR="0097509A" w:rsidRPr="00FE092C" w:rsidRDefault="0097509A" w:rsidP="0097509A">
      <w:pPr>
        <w:ind w:firstLine="708"/>
        <w:jc w:val="both"/>
        <w:rPr>
          <w:iCs/>
          <w:szCs w:val="24"/>
        </w:rPr>
      </w:pPr>
      <w:r w:rsidRPr="00FE092C">
        <w:rPr>
          <w:iCs/>
          <w:szCs w:val="24"/>
        </w:rPr>
        <w:t xml:space="preserve">O produto objeto da revisão é a resina termoplástica de PP produzida e exportada da África do Sul, Coreia e Índia, dos seguintes tipos: </w:t>
      </w:r>
    </w:p>
    <w:p w:rsidR="0097509A" w:rsidRPr="00FE092C" w:rsidRDefault="0097509A" w:rsidP="0097509A">
      <w:pPr>
        <w:numPr>
          <w:ilvl w:val="1"/>
          <w:numId w:val="6"/>
        </w:numPr>
        <w:jc w:val="both"/>
        <w:rPr>
          <w:iCs/>
          <w:szCs w:val="24"/>
        </w:rPr>
      </w:pPr>
      <w:r w:rsidRPr="00FE092C">
        <w:rPr>
          <w:iCs/>
          <w:szCs w:val="24"/>
        </w:rPr>
        <w:t>PP Homopolímero (“PP Homo”): polímeros de propileno ou de outras olefinas, em formas primárias; polipropileno; sem carga; e</w:t>
      </w:r>
    </w:p>
    <w:p w:rsidR="0097509A" w:rsidRPr="009007F3" w:rsidRDefault="0097509A" w:rsidP="0097509A">
      <w:pPr>
        <w:numPr>
          <w:ilvl w:val="1"/>
          <w:numId w:val="6"/>
        </w:numPr>
        <w:jc w:val="both"/>
        <w:rPr>
          <w:iCs/>
          <w:szCs w:val="24"/>
        </w:rPr>
      </w:pPr>
      <w:r w:rsidRPr="00FE092C">
        <w:rPr>
          <w:iCs/>
          <w:szCs w:val="24"/>
        </w:rPr>
        <w:t xml:space="preserve"> PP Copolímero (“PP Copo”): polímeros de propileno ou de outras olefinas, em formas primárias; copolímeros de propileno, os quais se subdividem em </w:t>
      </w:r>
      <w:proofErr w:type="spellStart"/>
      <w:r w:rsidRPr="00FE092C">
        <w:rPr>
          <w:iCs/>
          <w:szCs w:val="24"/>
        </w:rPr>
        <w:t>heterofásicos</w:t>
      </w:r>
      <w:proofErr w:type="spellEnd"/>
      <w:r w:rsidRPr="00FE092C">
        <w:rPr>
          <w:iCs/>
          <w:szCs w:val="24"/>
        </w:rPr>
        <w:t xml:space="preserve"> e </w:t>
      </w:r>
      <w:r w:rsidRPr="009007F3">
        <w:rPr>
          <w:iCs/>
          <w:szCs w:val="24"/>
        </w:rPr>
        <w:t>randômicos.</w:t>
      </w:r>
    </w:p>
    <w:p w:rsidR="0097509A" w:rsidRPr="009007F3" w:rsidRDefault="0097509A" w:rsidP="0097509A">
      <w:pPr>
        <w:jc w:val="both"/>
        <w:rPr>
          <w:iCs/>
          <w:szCs w:val="24"/>
        </w:rPr>
      </w:pPr>
    </w:p>
    <w:p w:rsidR="0097509A" w:rsidRPr="009007F3" w:rsidRDefault="0097509A" w:rsidP="0097509A">
      <w:pPr>
        <w:ind w:firstLine="708"/>
        <w:jc w:val="both"/>
        <w:rPr>
          <w:iCs/>
          <w:szCs w:val="24"/>
        </w:rPr>
      </w:pPr>
      <w:r w:rsidRPr="009007F3">
        <w:rPr>
          <w:iCs/>
          <w:szCs w:val="24"/>
        </w:rPr>
        <w:t xml:space="preserve">Conforme se depreende da Resolução CAMEX nº 75/2014, foram </w:t>
      </w:r>
      <w:r w:rsidRPr="009007F3">
        <w:rPr>
          <w:b/>
          <w:iCs/>
          <w:szCs w:val="24"/>
        </w:rPr>
        <w:t>excluídos</w:t>
      </w:r>
      <w:r w:rsidRPr="009007F3">
        <w:rPr>
          <w:iCs/>
          <w:szCs w:val="24"/>
        </w:rPr>
        <w:t xml:space="preserve"> do escopo do direito antidumping (AD) os seguintes tipos de polipropileno:</w:t>
      </w:r>
    </w:p>
    <w:p w:rsidR="0097509A" w:rsidRPr="0097509A" w:rsidRDefault="0097509A" w:rsidP="0097509A">
      <w:pPr>
        <w:numPr>
          <w:ilvl w:val="0"/>
          <w:numId w:val="7"/>
        </w:numPr>
        <w:jc w:val="both"/>
        <w:rPr>
          <w:iCs/>
          <w:szCs w:val="24"/>
        </w:rPr>
      </w:pPr>
      <w:r w:rsidRPr="0097509A">
        <w:rPr>
          <w:iCs/>
          <w:szCs w:val="24"/>
        </w:rPr>
        <w:t xml:space="preserve"> Copolímero randômico de polipropileno de uso específico, com baixa temperatura inicial de selagem (SIT), ou seja, até 110º C medidos pelo método ASTM F 88, considerando a força de selagem mínima de 0,5 N;</w:t>
      </w:r>
    </w:p>
    <w:p w:rsidR="0097509A" w:rsidRPr="0097509A" w:rsidRDefault="0097509A" w:rsidP="0097509A">
      <w:pPr>
        <w:numPr>
          <w:ilvl w:val="0"/>
          <w:numId w:val="7"/>
        </w:numPr>
        <w:jc w:val="both"/>
        <w:rPr>
          <w:iCs/>
          <w:szCs w:val="24"/>
        </w:rPr>
      </w:pPr>
      <w:r w:rsidRPr="0097509A">
        <w:rPr>
          <w:iCs/>
          <w:szCs w:val="24"/>
        </w:rPr>
        <w:t xml:space="preserve"> </w:t>
      </w:r>
      <w:r w:rsidRPr="0097509A">
        <w:rPr>
          <w:szCs w:val="24"/>
        </w:rPr>
        <w:t>Copolímero de polipropileno destinado à cimentação petrolífera;</w:t>
      </w:r>
    </w:p>
    <w:p w:rsidR="0097509A" w:rsidRPr="0097509A" w:rsidRDefault="0097509A" w:rsidP="0097509A">
      <w:pPr>
        <w:numPr>
          <w:ilvl w:val="0"/>
          <w:numId w:val="7"/>
        </w:numPr>
        <w:jc w:val="both"/>
        <w:rPr>
          <w:iCs/>
          <w:szCs w:val="24"/>
        </w:rPr>
      </w:pPr>
      <w:r w:rsidRPr="0097509A">
        <w:rPr>
          <w:szCs w:val="24"/>
        </w:rPr>
        <w:t xml:space="preserve"> Copolímero de polipropileno e estireno contendo bloco triplo estrelado;</w:t>
      </w:r>
    </w:p>
    <w:p w:rsidR="0097509A" w:rsidRPr="0097509A" w:rsidRDefault="0097509A" w:rsidP="0097509A">
      <w:pPr>
        <w:numPr>
          <w:ilvl w:val="0"/>
          <w:numId w:val="7"/>
        </w:numPr>
        <w:jc w:val="both"/>
        <w:rPr>
          <w:iCs/>
          <w:szCs w:val="24"/>
        </w:rPr>
      </w:pPr>
      <w:r w:rsidRPr="0097509A">
        <w:rPr>
          <w:szCs w:val="24"/>
        </w:rPr>
        <w:t xml:space="preserve"> </w:t>
      </w:r>
      <w:r w:rsidRPr="0097509A">
        <w:rPr>
          <w:iCs/>
          <w:szCs w:val="24"/>
        </w:rPr>
        <w:t xml:space="preserve">Homopolímeros e copolímeros de bloco produzidos pelo processo de reação por catalisadores </w:t>
      </w:r>
      <w:proofErr w:type="spellStart"/>
      <w:r w:rsidRPr="0097509A">
        <w:rPr>
          <w:iCs/>
          <w:szCs w:val="24"/>
        </w:rPr>
        <w:t>metalocênicos</w:t>
      </w:r>
      <w:proofErr w:type="spellEnd"/>
      <w:r w:rsidRPr="0097509A">
        <w:rPr>
          <w:iCs/>
          <w:szCs w:val="24"/>
        </w:rPr>
        <w:t>; e</w:t>
      </w:r>
    </w:p>
    <w:p w:rsidR="0097509A" w:rsidRPr="0097509A" w:rsidRDefault="0097509A" w:rsidP="0097509A">
      <w:pPr>
        <w:numPr>
          <w:ilvl w:val="0"/>
          <w:numId w:val="7"/>
        </w:numPr>
        <w:jc w:val="both"/>
        <w:rPr>
          <w:iCs/>
          <w:szCs w:val="24"/>
        </w:rPr>
      </w:pPr>
      <w:r w:rsidRPr="0097509A">
        <w:rPr>
          <w:iCs/>
          <w:szCs w:val="24"/>
        </w:rPr>
        <w:t xml:space="preserve"> Polipropileno copolímero randômico de alto peso molecular e alta viscosidade, com </w:t>
      </w:r>
      <w:proofErr w:type="spellStart"/>
      <w:r w:rsidRPr="0097509A">
        <w:rPr>
          <w:b/>
          <w:bCs/>
          <w:iCs/>
          <w:szCs w:val="24"/>
        </w:rPr>
        <w:t>Melt</w:t>
      </w:r>
      <w:proofErr w:type="spellEnd"/>
      <w:r w:rsidRPr="0097509A">
        <w:rPr>
          <w:b/>
          <w:bCs/>
          <w:iCs/>
          <w:szCs w:val="24"/>
        </w:rPr>
        <w:t xml:space="preserve"> </w:t>
      </w:r>
      <w:proofErr w:type="spellStart"/>
      <w:r w:rsidRPr="0097509A">
        <w:rPr>
          <w:b/>
          <w:bCs/>
          <w:iCs/>
          <w:szCs w:val="24"/>
        </w:rPr>
        <w:t>Flow</w:t>
      </w:r>
      <w:proofErr w:type="spellEnd"/>
      <w:r w:rsidRPr="0097509A">
        <w:rPr>
          <w:b/>
          <w:bCs/>
          <w:iCs/>
          <w:szCs w:val="24"/>
        </w:rPr>
        <w:t xml:space="preserve"> Index </w:t>
      </w:r>
      <w:r w:rsidRPr="0097509A">
        <w:rPr>
          <w:iCs/>
          <w:szCs w:val="24"/>
        </w:rPr>
        <w:t>(ASTM D 1238) inferior a 0,40 g/10 min, medido à temperatura de 230ºC e 2,16 kg, empregado na produção de tubos para água quente de PP (tubos PPR) (NCM 3902.30.00).</w:t>
      </w:r>
    </w:p>
    <w:p w:rsidR="0097509A" w:rsidRPr="0097509A" w:rsidRDefault="0097509A" w:rsidP="0097509A">
      <w:pPr>
        <w:jc w:val="both"/>
        <w:rPr>
          <w:iCs/>
          <w:szCs w:val="24"/>
        </w:rPr>
      </w:pPr>
      <w:r w:rsidRPr="0097509A">
        <w:rPr>
          <w:iCs/>
          <w:szCs w:val="24"/>
        </w:rPr>
        <w:t xml:space="preserve"> </w:t>
      </w:r>
    </w:p>
    <w:p w:rsidR="0097509A" w:rsidRPr="0097509A" w:rsidRDefault="0097509A" w:rsidP="0097509A">
      <w:pPr>
        <w:ind w:firstLine="708"/>
        <w:jc w:val="both"/>
        <w:rPr>
          <w:szCs w:val="24"/>
        </w:rPr>
      </w:pPr>
      <w:r w:rsidRPr="0097509A">
        <w:rPr>
          <w:szCs w:val="24"/>
        </w:rPr>
        <w:t xml:space="preserve">Cabe ressaltar, na revisão referente a importações de resina de PP originárias dos EUA em que a medida antidumping foi prorrogada por meio da </w:t>
      </w:r>
      <w:r w:rsidRPr="0097509A">
        <w:rPr>
          <w:color w:val="000000"/>
          <w:szCs w:val="24"/>
        </w:rPr>
        <w:t>Resolução CAMEX n</w:t>
      </w:r>
      <w:r w:rsidRPr="0097509A">
        <w:rPr>
          <w:szCs w:val="24"/>
          <w:u w:val="single"/>
          <w:vertAlign w:val="superscript"/>
        </w:rPr>
        <w:t>o</w:t>
      </w:r>
      <w:r w:rsidRPr="0097509A">
        <w:rPr>
          <w:color w:val="000000"/>
          <w:szCs w:val="24"/>
        </w:rPr>
        <w:t xml:space="preserve"> 104, de 31 de outubro de 2016, publicado no D.O.U. de 1º de novembro de 2016, d</w:t>
      </w:r>
      <w:r w:rsidRPr="0097509A">
        <w:rPr>
          <w:szCs w:val="24"/>
        </w:rPr>
        <w:t xml:space="preserve">ecidiu-se pela exclusão do escopo do produto as </w:t>
      </w:r>
      <w:r w:rsidRPr="0097509A">
        <w:rPr>
          <w:rStyle w:val="fontstyle01"/>
          <w:rFonts w:ascii="Times New Roman" w:hAnsi="Times New Roman"/>
          <w:sz w:val="24"/>
          <w:szCs w:val="24"/>
        </w:rPr>
        <w:t xml:space="preserve">resinas de polipropileno contendo simultaneamente módulo de flexão igual ou inferior a 80 MPa (conforme ISO 178) e índice de fluidez igual ou superior a 27 g/10 min (ISO 1133). Desse modo, tendo em vista que o escopo da revisão de resina de PP originárias dos EUA era inicialmente igual a presente revisão, solicita-se que as partes interessadas se manifestem a respeito do tipo de produto excluído naquela revisão. </w:t>
      </w:r>
    </w:p>
    <w:p w:rsidR="0097509A" w:rsidRDefault="0097509A"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rsidR="0097509A" w:rsidRPr="007F497D" w:rsidRDefault="0097509A" w:rsidP="0097509A">
      <w:pPr>
        <w:ind w:firstLine="708"/>
        <w:jc w:val="both"/>
        <w:rPr>
          <w:szCs w:val="24"/>
        </w:rPr>
      </w:pPr>
      <w:r w:rsidRPr="007F497D">
        <w:rPr>
          <w:szCs w:val="24"/>
        </w:rPr>
        <w:t>Janeiro de 2018 a dezembro de 2018.</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rsidR="00427F90" w:rsidRPr="00BA7B70" w:rsidRDefault="0097509A" w:rsidP="0097509A">
      <w:pPr>
        <w:ind w:left="-142" w:right="-199" w:firstLine="850"/>
        <w:jc w:val="both"/>
        <w:rPr>
          <w:szCs w:val="24"/>
        </w:rPr>
      </w:pPr>
      <w:r w:rsidRPr="009007F3">
        <w:rPr>
          <w:szCs w:val="24"/>
        </w:rPr>
        <w:t xml:space="preserve">Janeiro de 2014 de a </w:t>
      </w:r>
      <w:proofErr w:type="gramStart"/>
      <w:r w:rsidRPr="009007F3">
        <w:rPr>
          <w:szCs w:val="24"/>
        </w:rPr>
        <w:t>Dezembro</w:t>
      </w:r>
      <w:proofErr w:type="gramEnd"/>
      <w:r w:rsidRPr="007F497D">
        <w:rPr>
          <w:szCs w:val="24"/>
        </w:rPr>
        <w:t xml:space="preserve"> de 2018</w:t>
      </w:r>
      <w:r w:rsidR="00427F90" w:rsidRPr="00BA7B70">
        <w:rPr>
          <w:szCs w:val="24"/>
        </w:rPr>
        <w:t>, dividido em cinco períodos, conforme especificado abaixo:</w:t>
      </w:r>
    </w:p>
    <w:p w:rsidR="0097509A" w:rsidRPr="007F497D" w:rsidRDefault="0097509A" w:rsidP="0097509A">
      <w:pPr>
        <w:ind w:left="1080"/>
        <w:jc w:val="both"/>
        <w:rPr>
          <w:szCs w:val="24"/>
        </w:rPr>
      </w:pPr>
      <w:r w:rsidRPr="007F497D">
        <w:rPr>
          <w:szCs w:val="24"/>
        </w:rPr>
        <w:t xml:space="preserve">P1 – </w:t>
      </w:r>
      <w:proofErr w:type="gramStart"/>
      <w:r w:rsidRPr="007F497D">
        <w:rPr>
          <w:szCs w:val="24"/>
        </w:rPr>
        <w:t>Janeiro</w:t>
      </w:r>
      <w:proofErr w:type="gramEnd"/>
      <w:r w:rsidRPr="007F497D">
        <w:rPr>
          <w:szCs w:val="24"/>
        </w:rPr>
        <w:t xml:space="preserve"> de 2014</w:t>
      </w:r>
      <w:r w:rsidRPr="007F497D" w:rsidDel="00F63D89">
        <w:rPr>
          <w:szCs w:val="24"/>
        </w:rPr>
        <w:t xml:space="preserve"> </w:t>
      </w:r>
      <w:r w:rsidRPr="007F497D">
        <w:rPr>
          <w:szCs w:val="24"/>
        </w:rPr>
        <w:t>a Dezembro de 2014</w:t>
      </w:r>
    </w:p>
    <w:p w:rsidR="0097509A" w:rsidRPr="007F497D" w:rsidRDefault="0097509A" w:rsidP="0097509A">
      <w:pPr>
        <w:ind w:left="1080"/>
        <w:jc w:val="both"/>
        <w:rPr>
          <w:szCs w:val="24"/>
        </w:rPr>
      </w:pPr>
      <w:r w:rsidRPr="007F497D">
        <w:rPr>
          <w:szCs w:val="24"/>
        </w:rPr>
        <w:t xml:space="preserve">P2 – </w:t>
      </w:r>
      <w:proofErr w:type="gramStart"/>
      <w:r w:rsidRPr="007F497D">
        <w:rPr>
          <w:szCs w:val="24"/>
        </w:rPr>
        <w:t>Janeiro</w:t>
      </w:r>
      <w:proofErr w:type="gramEnd"/>
      <w:r w:rsidRPr="007F497D">
        <w:rPr>
          <w:szCs w:val="24"/>
        </w:rPr>
        <w:t xml:space="preserve"> de 2015</w:t>
      </w:r>
      <w:r w:rsidRPr="007F497D" w:rsidDel="00F63D89">
        <w:rPr>
          <w:szCs w:val="24"/>
        </w:rPr>
        <w:t xml:space="preserve"> </w:t>
      </w:r>
      <w:r w:rsidRPr="007F497D">
        <w:rPr>
          <w:szCs w:val="24"/>
        </w:rPr>
        <w:t>a Dezembro de 2015</w:t>
      </w:r>
    </w:p>
    <w:p w:rsidR="0097509A" w:rsidRPr="00037C6A" w:rsidRDefault="0097509A" w:rsidP="0097509A">
      <w:pPr>
        <w:ind w:left="1080"/>
        <w:jc w:val="both"/>
        <w:rPr>
          <w:szCs w:val="24"/>
        </w:rPr>
      </w:pPr>
      <w:r w:rsidRPr="007F497D">
        <w:rPr>
          <w:szCs w:val="24"/>
        </w:rPr>
        <w:t xml:space="preserve">P3 – </w:t>
      </w:r>
      <w:proofErr w:type="gramStart"/>
      <w:r w:rsidRPr="007F497D">
        <w:rPr>
          <w:szCs w:val="24"/>
        </w:rPr>
        <w:t>Janeiro</w:t>
      </w:r>
      <w:proofErr w:type="gramEnd"/>
      <w:r w:rsidRPr="007F497D">
        <w:rPr>
          <w:szCs w:val="24"/>
        </w:rPr>
        <w:t xml:space="preserve"> de 2016</w:t>
      </w:r>
      <w:r w:rsidRPr="007F497D" w:rsidDel="00F63D89">
        <w:rPr>
          <w:szCs w:val="24"/>
        </w:rPr>
        <w:t xml:space="preserve"> </w:t>
      </w:r>
      <w:r w:rsidRPr="007F497D">
        <w:rPr>
          <w:szCs w:val="24"/>
        </w:rPr>
        <w:t xml:space="preserve">a Dezembro </w:t>
      </w:r>
      <w:r w:rsidRPr="00037C6A">
        <w:rPr>
          <w:szCs w:val="24"/>
        </w:rPr>
        <w:t xml:space="preserve">de </w:t>
      </w:r>
      <w:r>
        <w:rPr>
          <w:szCs w:val="24"/>
        </w:rPr>
        <w:t>2016</w:t>
      </w:r>
    </w:p>
    <w:p w:rsidR="0097509A" w:rsidRPr="00037C6A" w:rsidRDefault="0097509A" w:rsidP="0097509A">
      <w:pPr>
        <w:ind w:left="1080"/>
        <w:jc w:val="both"/>
        <w:rPr>
          <w:szCs w:val="24"/>
        </w:rPr>
      </w:pPr>
      <w:r w:rsidRPr="00037C6A">
        <w:rPr>
          <w:szCs w:val="24"/>
        </w:rPr>
        <w:t xml:space="preserve">P4 – </w:t>
      </w:r>
      <w:proofErr w:type="gramStart"/>
      <w:r>
        <w:rPr>
          <w:szCs w:val="24"/>
        </w:rPr>
        <w:t>Janeiro</w:t>
      </w:r>
      <w:proofErr w:type="gramEnd"/>
      <w:r w:rsidRPr="00037C6A">
        <w:rPr>
          <w:szCs w:val="24"/>
        </w:rPr>
        <w:t xml:space="preserve"> de </w:t>
      </w:r>
      <w:r>
        <w:rPr>
          <w:szCs w:val="24"/>
        </w:rPr>
        <w:t>2017</w:t>
      </w:r>
      <w:r w:rsidRPr="00037C6A" w:rsidDel="00F63D89">
        <w:rPr>
          <w:szCs w:val="24"/>
        </w:rPr>
        <w:t xml:space="preserve"> </w:t>
      </w:r>
      <w:r w:rsidRPr="00037C6A">
        <w:rPr>
          <w:szCs w:val="24"/>
        </w:rPr>
        <w:t>a</w:t>
      </w:r>
      <w:r>
        <w:rPr>
          <w:szCs w:val="24"/>
        </w:rPr>
        <w:t xml:space="preserve"> dezembro</w:t>
      </w:r>
      <w:r w:rsidRPr="00037C6A">
        <w:rPr>
          <w:szCs w:val="24"/>
        </w:rPr>
        <w:t xml:space="preserve"> de </w:t>
      </w:r>
      <w:r>
        <w:rPr>
          <w:szCs w:val="24"/>
        </w:rPr>
        <w:t>2017</w:t>
      </w:r>
    </w:p>
    <w:p w:rsidR="0097509A" w:rsidRPr="00037C6A" w:rsidRDefault="0097509A" w:rsidP="0097509A">
      <w:pPr>
        <w:ind w:left="1080"/>
        <w:jc w:val="both"/>
        <w:rPr>
          <w:szCs w:val="24"/>
        </w:rPr>
      </w:pPr>
      <w:r w:rsidRPr="00037C6A">
        <w:rPr>
          <w:szCs w:val="24"/>
        </w:rPr>
        <w:t xml:space="preserve">P5 – </w:t>
      </w:r>
      <w:proofErr w:type="gramStart"/>
      <w:r>
        <w:rPr>
          <w:szCs w:val="24"/>
        </w:rPr>
        <w:t>Janeiro</w:t>
      </w:r>
      <w:proofErr w:type="gramEnd"/>
      <w:r w:rsidRPr="00037C6A">
        <w:rPr>
          <w:szCs w:val="24"/>
        </w:rPr>
        <w:t xml:space="preserve"> de </w:t>
      </w:r>
      <w:r>
        <w:rPr>
          <w:szCs w:val="24"/>
        </w:rPr>
        <w:t>2018</w:t>
      </w:r>
      <w:r w:rsidRPr="00037C6A" w:rsidDel="00F63D89">
        <w:rPr>
          <w:szCs w:val="24"/>
        </w:rPr>
        <w:t xml:space="preserve"> </w:t>
      </w:r>
      <w:r w:rsidRPr="00037C6A">
        <w:rPr>
          <w:szCs w:val="24"/>
        </w:rPr>
        <w:t>a</w:t>
      </w:r>
      <w:r>
        <w:rPr>
          <w:szCs w:val="24"/>
        </w:rPr>
        <w:t xml:space="preserve"> dezembro</w:t>
      </w:r>
      <w:r w:rsidRPr="00037C6A">
        <w:rPr>
          <w:szCs w:val="24"/>
        </w:rPr>
        <w:t xml:space="preserve"> de </w:t>
      </w:r>
      <w:r>
        <w:rPr>
          <w:szCs w:val="24"/>
        </w:rPr>
        <w:t>2018</w:t>
      </w: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proofErr w:type="gramStart"/>
      <w:r w:rsidRPr="00BA7B70">
        <w:rPr>
          <w:szCs w:val="24"/>
        </w:rPr>
        <w:t>1.</w:t>
      </w:r>
      <w:r w:rsidRPr="00BA7B70">
        <w:rPr>
          <w:szCs w:val="24"/>
        </w:rPr>
        <w:tab/>
        <w:t>Descrever</w:t>
      </w:r>
      <w:proofErr w:type="gramEnd"/>
      <w:r w:rsidRPr="00BA7B70">
        <w:rPr>
          <w:szCs w:val="24"/>
        </w:rPr>
        <w:t xml:space="preserve">, detalhadamente, </w:t>
      </w:r>
      <w:r w:rsidR="00540255">
        <w:rPr>
          <w:szCs w:val="24"/>
        </w:rPr>
        <w:t>a resina de PP importada</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540255">
        <w:rPr>
          <w:szCs w:val="24"/>
        </w:rPr>
        <w:t>resina de PP</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540255">
        <w:t>a</w:t>
      </w:r>
      <w:r w:rsidR="00AF0BD6" w:rsidRPr="00BA7B70">
        <w:t xml:space="preserve"> </w:t>
      </w:r>
      <w:r w:rsidR="00540255">
        <w:rPr>
          <w:szCs w:val="24"/>
        </w:rPr>
        <w:t>resina de PP</w:t>
      </w:r>
      <w:r w:rsidR="001D0BCD" w:rsidRPr="00BA7B70">
        <w:rPr>
          <w:szCs w:val="24"/>
        </w:rPr>
        <w:t xml:space="preserve"> </w:t>
      </w:r>
      <w:r w:rsidR="00E53089" w:rsidRPr="00BA7B70">
        <w:t>importad</w:t>
      </w:r>
      <w:r w:rsidR="001D0BCD" w:rsidRPr="00BA7B70">
        <w:t>a</w:t>
      </w:r>
      <w:r w:rsidR="00E53089" w:rsidRPr="00BA7B70">
        <w:t xml:space="preserve"> a algum processo de transformação e/ou embalagem, descrevendo sucintamente tal processo, ou se </w:t>
      </w:r>
      <w:r w:rsidR="00540255">
        <w:t xml:space="preserve">a </w:t>
      </w:r>
      <w:r w:rsidR="00E53089" w:rsidRPr="00BA7B70">
        <w:t>utiliza e/ou reven</w:t>
      </w:r>
      <w:r w:rsidR="00A72A84" w:rsidRPr="00BA7B70">
        <w:t xml:space="preserve">de na forma em que foi </w:t>
      </w:r>
      <w:proofErr w:type="gramStart"/>
      <w:r w:rsidR="00A72A84" w:rsidRPr="00BA7B70">
        <w:t>importado</w:t>
      </w:r>
      <w:r w:rsidR="001D0BCD" w:rsidRPr="00BA7B70">
        <w:t>(</w:t>
      </w:r>
      <w:proofErr w:type="gramEnd"/>
      <w:r w:rsidR="001D0BCD" w:rsidRPr="00BA7B70">
        <w:t>a)</w:t>
      </w:r>
      <w:r w:rsidR="00E53089" w:rsidRPr="00BA7B70">
        <w:t xml:space="preserve">. Informar, ainda, se </w:t>
      </w:r>
      <w:r w:rsidR="00540255">
        <w:t>a</w:t>
      </w:r>
      <w:r w:rsidR="00540255" w:rsidRPr="00BA7B70">
        <w:t xml:space="preserve"> </w:t>
      </w:r>
      <w:r w:rsidR="00540255">
        <w:rPr>
          <w:szCs w:val="24"/>
        </w:rPr>
        <w:t>resina de PP</w:t>
      </w:r>
      <w:r w:rsidR="00791D6C" w:rsidRPr="00BA7B70">
        <w:t xml:space="preserve"> </w:t>
      </w:r>
      <w:r w:rsidR="00A72A84" w:rsidRPr="00BA7B70">
        <w:t>importad</w:t>
      </w:r>
      <w:r w:rsidR="001D0BCD" w:rsidRPr="00BA7B70">
        <w:t>a</w:t>
      </w:r>
      <w:r w:rsidR="00A72A84" w:rsidRPr="00BA7B70">
        <w:t xml:space="preserve"> é posteriormente </w:t>
      </w:r>
      <w:proofErr w:type="gramStart"/>
      <w:r w:rsidR="00A72A84" w:rsidRPr="00BA7B70">
        <w:t>exportado</w:t>
      </w:r>
      <w:r w:rsidR="001D0BCD" w:rsidRPr="00BA7B70">
        <w:t>(</w:t>
      </w:r>
      <w:proofErr w:type="gramEnd"/>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proofErr w:type="gramStart"/>
      <w:r w:rsidRPr="00BA7B70">
        <w:t>6</w:t>
      </w:r>
      <w:r w:rsidR="00E53089" w:rsidRPr="00BA7B70">
        <w:t>.</w:t>
      </w:r>
      <w:r w:rsidR="00E53089" w:rsidRPr="00BA7B70">
        <w:tab/>
        <w:t>Caso</w:t>
      </w:r>
      <w:proofErr w:type="gramEnd"/>
      <w:r w:rsidR="00E53089" w:rsidRPr="00BA7B70">
        <w:t xml:space="preserve"> essa empresa revenda </w:t>
      </w:r>
      <w:r w:rsidR="00540255">
        <w:t>a</w:t>
      </w:r>
      <w:r w:rsidR="00540255" w:rsidRPr="00BA7B70">
        <w:t xml:space="preserve"> </w:t>
      </w:r>
      <w:r w:rsidR="00540255">
        <w:rPr>
          <w:szCs w:val="24"/>
        </w:rPr>
        <w:t>resina de PP</w:t>
      </w:r>
      <w:r w:rsidR="009D23F5" w:rsidRPr="00BA7B70">
        <w:rPr>
          <w:szCs w:val="24"/>
        </w:rPr>
        <w:t xml:space="preserve"> </w:t>
      </w:r>
      <w:r w:rsidR="00540255">
        <w:t>importad</w:t>
      </w:r>
      <w:r w:rsidR="009D23F5" w:rsidRPr="00BA7B70">
        <w:t>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proofErr w:type="gramStart"/>
      <w:r w:rsidRPr="00BA7B70">
        <w:rPr>
          <w:szCs w:val="24"/>
        </w:rPr>
        <w:t>7</w:t>
      </w:r>
      <w:r w:rsidR="00EE1750" w:rsidRPr="00BA7B70">
        <w:rPr>
          <w:szCs w:val="24"/>
        </w:rPr>
        <w:t>.</w:t>
      </w:r>
      <w:r w:rsidR="00EE1750" w:rsidRPr="00BA7B70">
        <w:rPr>
          <w:szCs w:val="24"/>
        </w:rPr>
        <w:tab/>
        <w:t>Esclarecer</w:t>
      </w:r>
      <w:proofErr w:type="gramEnd"/>
      <w:r w:rsidR="00EE1750" w:rsidRPr="00BA7B70">
        <w:rPr>
          <w:szCs w:val="24"/>
        </w:rPr>
        <w:t xml:space="preserve"> a política comercial na aquisição </w:t>
      </w:r>
      <w:r w:rsidR="00AF0BD6" w:rsidRPr="00BA7B70">
        <w:rPr>
          <w:szCs w:val="24"/>
        </w:rPr>
        <w:t>de</w:t>
      </w:r>
      <w:r w:rsidR="0057600A" w:rsidRPr="00BA7B70">
        <w:t xml:space="preserve"> </w:t>
      </w:r>
      <w:r w:rsidR="00540255">
        <w:t>a</w:t>
      </w:r>
      <w:r w:rsidR="00540255" w:rsidRPr="00BA7B70">
        <w:t xml:space="preserve"> </w:t>
      </w:r>
      <w:r w:rsidR="00540255">
        <w:rPr>
          <w:szCs w:val="24"/>
        </w:rPr>
        <w:t>resina de PP</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540255" w:rsidRDefault="0080623A" w:rsidP="004C2FAF">
      <w:pPr>
        <w:ind w:left="-142" w:right="-199"/>
        <w:jc w:val="both"/>
        <w:rPr>
          <w:szCs w:val="24"/>
        </w:rPr>
      </w:pPr>
    </w:p>
    <w:p w:rsidR="009661AC" w:rsidRPr="00540255" w:rsidRDefault="009661AC" w:rsidP="004C2FAF">
      <w:pPr>
        <w:pStyle w:val="Recuodecorpodetexto3"/>
        <w:ind w:left="-142" w:right="-199"/>
        <w:rPr>
          <w:b/>
          <w:szCs w:val="24"/>
        </w:rPr>
      </w:pPr>
      <w:proofErr w:type="gramStart"/>
      <w:r w:rsidRPr="00540255">
        <w:rPr>
          <w:szCs w:val="24"/>
        </w:rPr>
        <w:t>1</w:t>
      </w:r>
      <w:r w:rsidR="00BA4A1F" w:rsidRPr="00540255">
        <w:rPr>
          <w:szCs w:val="24"/>
        </w:rPr>
        <w:t>1</w:t>
      </w:r>
      <w:r w:rsidRPr="00540255">
        <w:rPr>
          <w:szCs w:val="24"/>
        </w:rPr>
        <w:t>.</w:t>
      </w:r>
      <w:r w:rsidRPr="00540255">
        <w:rPr>
          <w:szCs w:val="24"/>
        </w:rPr>
        <w:tab/>
        <w:t>Preencher</w:t>
      </w:r>
      <w:proofErr w:type="gramEnd"/>
      <w:r w:rsidRPr="00540255">
        <w:rPr>
          <w:szCs w:val="24"/>
        </w:rPr>
        <w:t xml:space="preserve"> </w:t>
      </w:r>
      <w:r w:rsidR="00EE0F10" w:rsidRPr="00540255">
        <w:rPr>
          <w:szCs w:val="24"/>
        </w:rPr>
        <w:t>o</w:t>
      </w:r>
      <w:r w:rsidRPr="00540255">
        <w:rPr>
          <w:szCs w:val="24"/>
        </w:rPr>
        <w:t xml:space="preserve"> </w:t>
      </w:r>
      <w:r w:rsidR="00E06566" w:rsidRPr="00540255">
        <w:rPr>
          <w:b/>
          <w:bCs/>
          <w:szCs w:val="24"/>
        </w:rPr>
        <w:t xml:space="preserve">Apêndice </w:t>
      </w:r>
      <w:r w:rsidR="006C0393" w:rsidRPr="00540255">
        <w:rPr>
          <w:b/>
          <w:bCs/>
          <w:szCs w:val="24"/>
        </w:rPr>
        <w:t>I</w:t>
      </w:r>
      <w:r w:rsidR="00724847" w:rsidRPr="00540255">
        <w:rPr>
          <w:b/>
          <w:bCs/>
          <w:szCs w:val="24"/>
        </w:rPr>
        <w:t>I</w:t>
      </w:r>
      <w:r w:rsidR="00D775DE" w:rsidRPr="00540255">
        <w:rPr>
          <w:szCs w:val="24"/>
        </w:rPr>
        <w:t xml:space="preserve">, </w:t>
      </w:r>
      <w:r w:rsidR="006E1194" w:rsidRPr="00540255">
        <w:rPr>
          <w:szCs w:val="24"/>
        </w:rPr>
        <w:t>no caso d</w:t>
      </w:r>
      <w:r w:rsidR="007A57E0" w:rsidRPr="00540255">
        <w:rPr>
          <w:szCs w:val="24"/>
        </w:rPr>
        <w:t>e</w:t>
      </w:r>
      <w:r w:rsidR="0009459B" w:rsidRPr="00540255">
        <w:rPr>
          <w:szCs w:val="24"/>
        </w:rPr>
        <w:t xml:space="preserve"> e</w:t>
      </w:r>
      <w:r w:rsidRPr="00540255">
        <w:rPr>
          <w:szCs w:val="24"/>
        </w:rPr>
        <w:t xml:space="preserve">sta empresa ter </w:t>
      </w:r>
      <w:r w:rsidR="00EE0F10" w:rsidRPr="00540255">
        <w:rPr>
          <w:szCs w:val="24"/>
        </w:rPr>
        <w:t xml:space="preserve">desembaraçado </w:t>
      </w:r>
      <w:r w:rsidRPr="00540255">
        <w:rPr>
          <w:szCs w:val="24"/>
        </w:rPr>
        <w:t>importações</w:t>
      </w:r>
      <w:r w:rsidR="00C90A1D" w:rsidRPr="00540255">
        <w:rPr>
          <w:szCs w:val="24"/>
        </w:rPr>
        <w:t>,</w:t>
      </w:r>
      <w:r w:rsidRPr="00540255">
        <w:rPr>
          <w:szCs w:val="24"/>
        </w:rPr>
        <w:t xml:space="preserve"> </w:t>
      </w:r>
      <w:r w:rsidR="006E1194" w:rsidRPr="00540255">
        <w:rPr>
          <w:b/>
          <w:szCs w:val="24"/>
        </w:rPr>
        <w:t>de</w:t>
      </w:r>
      <w:r w:rsidR="00EE0F10" w:rsidRPr="00540255">
        <w:rPr>
          <w:b/>
          <w:szCs w:val="24"/>
        </w:rPr>
        <w:t xml:space="preserve"> </w:t>
      </w:r>
      <w:r w:rsidR="00540255" w:rsidRPr="00540255">
        <w:rPr>
          <w:b/>
          <w:szCs w:val="24"/>
        </w:rPr>
        <w:t>Janeiro de 2018 a Dezembro de 2018,</w:t>
      </w:r>
      <w:r w:rsidR="00EE0F10" w:rsidRPr="00540255">
        <w:rPr>
          <w:szCs w:val="24"/>
        </w:rPr>
        <w:t xml:space="preserve"> </w:t>
      </w:r>
      <w:r w:rsidRPr="00540255">
        <w:rPr>
          <w:szCs w:val="24"/>
        </w:rPr>
        <w:t xml:space="preserve">de </w:t>
      </w:r>
      <w:r w:rsidR="00540255" w:rsidRPr="00540255">
        <w:rPr>
          <w:szCs w:val="24"/>
        </w:rPr>
        <w:t>resina de PP</w:t>
      </w:r>
      <w:r w:rsidR="00AF1B10" w:rsidRPr="00540255">
        <w:rPr>
          <w:b/>
          <w:szCs w:val="24"/>
        </w:rPr>
        <w:t xml:space="preserve"> </w:t>
      </w:r>
      <w:r w:rsidR="00C60E76" w:rsidRPr="00540255">
        <w:rPr>
          <w:b/>
          <w:szCs w:val="24"/>
        </w:rPr>
        <w:t xml:space="preserve">objeto da </w:t>
      </w:r>
      <w:r w:rsidR="00083000" w:rsidRPr="00540255">
        <w:rPr>
          <w:b/>
          <w:szCs w:val="24"/>
        </w:rPr>
        <w:t>revisão</w:t>
      </w:r>
      <w:r w:rsidRPr="00540255">
        <w:rPr>
          <w:szCs w:val="24"/>
        </w:rPr>
        <w:t xml:space="preserve">, </w:t>
      </w:r>
      <w:r w:rsidR="00AC5115" w:rsidRPr="00540255">
        <w:rPr>
          <w:szCs w:val="24"/>
        </w:rPr>
        <w:t>comumente classificad</w:t>
      </w:r>
      <w:r w:rsidR="00AF1B10" w:rsidRPr="00540255">
        <w:rPr>
          <w:szCs w:val="24"/>
        </w:rPr>
        <w:t>a</w:t>
      </w:r>
      <w:r w:rsidRPr="00540255">
        <w:rPr>
          <w:szCs w:val="24"/>
        </w:rPr>
        <w:t xml:space="preserve"> no</w:t>
      </w:r>
      <w:r w:rsidR="00AF1B10" w:rsidRPr="00540255">
        <w:rPr>
          <w:szCs w:val="24"/>
        </w:rPr>
        <w:t>s</w:t>
      </w:r>
      <w:r w:rsidRPr="00540255">
        <w:rPr>
          <w:szCs w:val="24"/>
        </w:rPr>
        <w:t xml:space="preserve"> ite</w:t>
      </w:r>
      <w:r w:rsidR="00AF1B10" w:rsidRPr="00540255">
        <w:rPr>
          <w:szCs w:val="24"/>
        </w:rPr>
        <w:t>ns</w:t>
      </w:r>
      <w:r w:rsidR="00C60E76" w:rsidRPr="00540255">
        <w:rPr>
          <w:szCs w:val="24"/>
        </w:rPr>
        <w:t xml:space="preserve"> </w:t>
      </w:r>
      <w:r w:rsidR="00540255" w:rsidRPr="00540255">
        <w:rPr>
          <w:szCs w:val="24"/>
        </w:rPr>
        <w:t xml:space="preserve">3902.10.20 e 3902.30.00 </w:t>
      </w:r>
      <w:r w:rsidRPr="00540255">
        <w:rPr>
          <w:szCs w:val="24"/>
        </w:rPr>
        <w:t>da NCM</w:t>
      </w:r>
      <w:r w:rsidR="00EE0F10" w:rsidRPr="00540255">
        <w:rPr>
          <w:szCs w:val="24"/>
        </w:rPr>
        <w:t xml:space="preserve"> e</w:t>
      </w:r>
      <w:r w:rsidRPr="00540255">
        <w:rPr>
          <w:szCs w:val="24"/>
        </w:rPr>
        <w:t xml:space="preserve"> </w:t>
      </w:r>
      <w:r w:rsidRPr="00540255">
        <w:rPr>
          <w:bCs/>
          <w:szCs w:val="24"/>
        </w:rPr>
        <w:t>originári</w:t>
      </w:r>
      <w:r w:rsidR="00B14A67" w:rsidRPr="00540255">
        <w:rPr>
          <w:bCs/>
          <w:szCs w:val="24"/>
        </w:rPr>
        <w:t>as</w:t>
      </w:r>
      <w:r w:rsidRPr="00540255">
        <w:rPr>
          <w:bCs/>
          <w:szCs w:val="24"/>
        </w:rPr>
        <w:t xml:space="preserve"> </w:t>
      </w:r>
      <w:r w:rsidR="00AF0BD6" w:rsidRPr="00540255">
        <w:rPr>
          <w:szCs w:val="24"/>
        </w:rPr>
        <w:t>d</w:t>
      </w:r>
      <w:r w:rsidR="007163A5" w:rsidRPr="00540255">
        <w:rPr>
          <w:szCs w:val="24"/>
        </w:rPr>
        <w:t>a</w:t>
      </w:r>
      <w:r w:rsidR="00AF1B10" w:rsidRPr="00540255">
        <w:rPr>
          <w:b/>
          <w:szCs w:val="24"/>
        </w:rPr>
        <w:t xml:space="preserve"> </w:t>
      </w:r>
      <w:r w:rsidR="00540255" w:rsidRPr="00540255">
        <w:rPr>
          <w:szCs w:val="24"/>
        </w:rPr>
        <w:t xml:space="preserve">África do Sul, da </w:t>
      </w:r>
      <w:proofErr w:type="spellStart"/>
      <w:r w:rsidR="00540255" w:rsidRPr="00540255">
        <w:rPr>
          <w:szCs w:val="24"/>
        </w:rPr>
        <w:t>Coreia</w:t>
      </w:r>
      <w:proofErr w:type="spellEnd"/>
      <w:r w:rsidR="00540255" w:rsidRPr="00540255">
        <w:rPr>
          <w:szCs w:val="24"/>
        </w:rPr>
        <w:t xml:space="preserve"> do Sul</w:t>
      </w:r>
      <w:r w:rsidR="00540255">
        <w:rPr>
          <w:szCs w:val="24"/>
        </w:rPr>
        <w:t xml:space="preserve"> e </w:t>
      </w:r>
      <w:r w:rsidR="00540255" w:rsidRPr="00540255">
        <w:rPr>
          <w:szCs w:val="24"/>
        </w:rPr>
        <w:t>da Índia</w:t>
      </w:r>
      <w:r w:rsidRPr="00540255">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Pr="00540255" w:rsidRDefault="00DB71D1" w:rsidP="00DB71D1">
      <w:pPr>
        <w:pStyle w:val="PargrafodaLista"/>
        <w:ind w:left="218" w:right="-199"/>
        <w:jc w:val="both"/>
        <w:rPr>
          <w:szCs w:val="24"/>
        </w:rPr>
      </w:pPr>
    </w:p>
    <w:p w:rsidR="00750696" w:rsidRPr="00540255" w:rsidRDefault="00750696" w:rsidP="00F46AD7">
      <w:pPr>
        <w:pStyle w:val="PargrafodaLista"/>
        <w:numPr>
          <w:ilvl w:val="0"/>
          <w:numId w:val="3"/>
        </w:numPr>
        <w:ind w:right="-199"/>
        <w:jc w:val="both"/>
        <w:rPr>
          <w:szCs w:val="24"/>
        </w:rPr>
      </w:pPr>
      <w:r w:rsidRPr="00540255">
        <w:rPr>
          <w:iCs/>
        </w:rPr>
        <w:t xml:space="preserve">O código a ser informado no </w:t>
      </w:r>
      <w:r w:rsidR="00724847" w:rsidRPr="00540255">
        <w:rPr>
          <w:iCs/>
        </w:rPr>
        <w:t>campo</w:t>
      </w:r>
      <w:r w:rsidRPr="00540255">
        <w:rPr>
          <w:iCs/>
        </w:rPr>
        <w:t xml:space="preserve"> n</w:t>
      </w:r>
      <w:r w:rsidRPr="00540255">
        <w:rPr>
          <w:iCs/>
          <w:u w:val="single"/>
          <w:vertAlign w:val="superscript"/>
        </w:rPr>
        <w:t>o</w:t>
      </w:r>
      <w:r w:rsidR="004B5BB7" w:rsidRPr="00540255">
        <w:rPr>
          <w:iCs/>
        </w:rPr>
        <w:t xml:space="preserve"> </w:t>
      </w:r>
      <w:r w:rsidR="003C3068" w:rsidRPr="00540255">
        <w:rPr>
          <w:iCs/>
        </w:rPr>
        <w:t>39</w:t>
      </w:r>
      <w:r w:rsidRPr="00540255">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997A8F" w:rsidRDefault="00997A8F" w:rsidP="00750696">
      <w:pPr>
        <w:ind w:right="-199"/>
        <w:rPr>
          <w:b/>
          <w:szCs w:val="24"/>
        </w:rPr>
      </w:pPr>
    </w:p>
    <w:p w:rsidR="00540255" w:rsidRPr="00FD168C" w:rsidRDefault="00540255" w:rsidP="00540255">
      <w:pPr>
        <w:ind w:right="-199"/>
        <w:rPr>
          <w:b/>
          <w:szCs w:val="24"/>
        </w:rPr>
      </w:pPr>
      <w:r w:rsidRPr="00FD168C">
        <w:rPr>
          <w:b/>
          <w:szCs w:val="24"/>
        </w:rPr>
        <w:t xml:space="preserve">Característica 1: </w:t>
      </w:r>
      <w:r>
        <w:rPr>
          <w:b/>
          <w:szCs w:val="24"/>
        </w:rPr>
        <w:t>Família do produto</w:t>
      </w:r>
    </w:p>
    <w:tbl>
      <w:tblPr>
        <w:tblW w:w="5000" w:type="pct"/>
        <w:jc w:val="center"/>
        <w:tblCellMar>
          <w:left w:w="70" w:type="dxa"/>
          <w:right w:w="70" w:type="dxa"/>
        </w:tblCellMar>
        <w:tblLook w:val="04A0" w:firstRow="1" w:lastRow="0" w:firstColumn="1" w:lastColumn="0" w:noHBand="0" w:noVBand="1"/>
      </w:tblPr>
      <w:tblGrid>
        <w:gridCol w:w="8625"/>
        <w:gridCol w:w="1097"/>
      </w:tblGrid>
      <w:tr w:rsidR="00540255" w:rsidRPr="00FD168C" w:rsidTr="000C2DAF">
        <w:trPr>
          <w:trHeight w:val="50"/>
          <w:jc w:val="center"/>
        </w:trPr>
        <w:tc>
          <w:tcPr>
            <w:tcW w:w="443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40255" w:rsidRPr="00FD168C" w:rsidRDefault="00540255" w:rsidP="000C2DAF">
            <w:pPr>
              <w:rPr>
                <w:b/>
                <w:bCs/>
                <w:szCs w:val="24"/>
              </w:rPr>
            </w:pPr>
            <w:r w:rsidRPr="00FD168C">
              <w:rPr>
                <w:b/>
                <w:bCs/>
                <w:szCs w:val="24"/>
              </w:rPr>
              <w:t>Especificação</w:t>
            </w:r>
          </w:p>
        </w:tc>
        <w:tc>
          <w:tcPr>
            <w:tcW w:w="56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40255" w:rsidRPr="00FD168C" w:rsidRDefault="00540255" w:rsidP="000C2DAF">
            <w:pPr>
              <w:jc w:val="center"/>
              <w:rPr>
                <w:b/>
                <w:bCs/>
                <w:szCs w:val="24"/>
              </w:rPr>
            </w:pPr>
            <w:r w:rsidRPr="00FD168C">
              <w:rPr>
                <w:b/>
                <w:bCs/>
                <w:szCs w:val="24"/>
              </w:rPr>
              <w:t>Código</w:t>
            </w:r>
          </w:p>
        </w:tc>
      </w:tr>
      <w:tr w:rsidR="00540255" w:rsidRPr="00FD168C" w:rsidTr="000C2DAF">
        <w:trPr>
          <w:trHeight w:val="315"/>
          <w:jc w:val="center"/>
        </w:trPr>
        <w:tc>
          <w:tcPr>
            <w:tcW w:w="4436" w:type="pct"/>
            <w:tcBorders>
              <w:top w:val="single" w:sz="12" w:space="0" w:color="auto"/>
              <w:left w:val="single" w:sz="12" w:space="0" w:color="auto"/>
              <w:bottom w:val="single" w:sz="4" w:space="0" w:color="auto"/>
              <w:right w:val="single" w:sz="4" w:space="0" w:color="auto"/>
            </w:tcBorders>
            <w:shd w:val="clear" w:color="auto" w:fill="auto"/>
            <w:noWrap/>
          </w:tcPr>
          <w:p w:rsidR="00540255" w:rsidRPr="00FD168C" w:rsidRDefault="00540255" w:rsidP="000C2DAF">
            <w:pPr>
              <w:pStyle w:val="Default"/>
              <w:rPr>
                <w:color w:val="auto"/>
              </w:rPr>
            </w:pPr>
            <w:r>
              <w:rPr>
                <w:color w:val="auto"/>
              </w:rPr>
              <w:t>Resina de PP Homopolímero</w:t>
            </w:r>
          </w:p>
        </w:tc>
        <w:tc>
          <w:tcPr>
            <w:tcW w:w="564" w:type="pct"/>
            <w:tcBorders>
              <w:top w:val="single" w:sz="12" w:space="0" w:color="auto"/>
              <w:left w:val="single" w:sz="4" w:space="0" w:color="auto"/>
              <w:bottom w:val="single" w:sz="4" w:space="0" w:color="auto"/>
              <w:right w:val="single" w:sz="4" w:space="0" w:color="auto"/>
            </w:tcBorders>
            <w:shd w:val="clear" w:color="auto" w:fill="auto"/>
            <w:noWrap/>
            <w:vAlign w:val="center"/>
          </w:tcPr>
          <w:p w:rsidR="00540255" w:rsidRPr="00FD168C" w:rsidRDefault="00540255" w:rsidP="000C2DAF">
            <w:pPr>
              <w:pStyle w:val="Default"/>
              <w:jc w:val="center"/>
              <w:rPr>
                <w:color w:val="auto"/>
              </w:rPr>
            </w:pPr>
            <w:r w:rsidRPr="00FD168C">
              <w:rPr>
                <w:color w:val="auto"/>
              </w:rPr>
              <w:t>1</w:t>
            </w:r>
          </w:p>
        </w:tc>
      </w:tr>
      <w:tr w:rsidR="00540255" w:rsidRPr="00FD168C" w:rsidTr="000C2DAF">
        <w:trPr>
          <w:trHeight w:val="315"/>
          <w:jc w:val="center"/>
        </w:trPr>
        <w:tc>
          <w:tcPr>
            <w:tcW w:w="4436" w:type="pct"/>
            <w:tcBorders>
              <w:top w:val="single" w:sz="4" w:space="0" w:color="auto"/>
              <w:left w:val="single" w:sz="12" w:space="0" w:color="auto"/>
              <w:bottom w:val="single" w:sz="4" w:space="0" w:color="auto"/>
              <w:right w:val="single" w:sz="4" w:space="0" w:color="auto"/>
            </w:tcBorders>
            <w:shd w:val="clear" w:color="auto" w:fill="auto"/>
            <w:noWrap/>
          </w:tcPr>
          <w:p w:rsidR="00540255" w:rsidRPr="00FD168C" w:rsidRDefault="00540255" w:rsidP="000C2DAF">
            <w:pPr>
              <w:pStyle w:val="Default"/>
              <w:rPr>
                <w:color w:val="auto"/>
              </w:rPr>
            </w:pPr>
            <w:r>
              <w:rPr>
                <w:color w:val="auto"/>
              </w:rPr>
              <w:t>Resina de PP Copolímero</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40255" w:rsidRPr="00FD168C" w:rsidRDefault="00540255" w:rsidP="000C2DAF">
            <w:pPr>
              <w:pStyle w:val="Default"/>
              <w:jc w:val="center"/>
              <w:rPr>
                <w:color w:val="auto"/>
              </w:rPr>
            </w:pPr>
            <w:r w:rsidRPr="00FD168C">
              <w:rPr>
                <w:color w:val="auto"/>
              </w:rPr>
              <w:t>2</w:t>
            </w:r>
          </w:p>
        </w:tc>
      </w:tr>
    </w:tbl>
    <w:p w:rsidR="00540255" w:rsidRPr="00FD168C" w:rsidRDefault="00540255" w:rsidP="00540255">
      <w:pPr>
        <w:ind w:right="-199"/>
        <w:jc w:val="both"/>
        <w:rPr>
          <w:iCs/>
          <w:szCs w:val="24"/>
        </w:rPr>
      </w:pPr>
    </w:p>
    <w:p w:rsidR="00540255" w:rsidRPr="00FD168C" w:rsidRDefault="00540255" w:rsidP="00540255">
      <w:pPr>
        <w:ind w:right="-199"/>
        <w:jc w:val="both"/>
        <w:rPr>
          <w:b/>
          <w:szCs w:val="24"/>
        </w:rPr>
      </w:pPr>
      <w:r w:rsidRPr="00FD168C">
        <w:rPr>
          <w:b/>
          <w:szCs w:val="24"/>
        </w:rPr>
        <w:t xml:space="preserve">Característica 2: </w:t>
      </w:r>
      <w:r>
        <w:rPr>
          <w:b/>
          <w:szCs w:val="24"/>
        </w:rPr>
        <w:t>Processo de Polimerização (quando for copolímero)</w:t>
      </w:r>
    </w:p>
    <w:tbl>
      <w:tblPr>
        <w:tblW w:w="5000" w:type="pct"/>
        <w:jc w:val="center"/>
        <w:tblCellMar>
          <w:left w:w="70" w:type="dxa"/>
          <w:right w:w="70" w:type="dxa"/>
        </w:tblCellMar>
        <w:tblLook w:val="04A0" w:firstRow="1" w:lastRow="0" w:firstColumn="1" w:lastColumn="0" w:noHBand="0" w:noVBand="1"/>
      </w:tblPr>
      <w:tblGrid>
        <w:gridCol w:w="8520"/>
        <w:gridCol w:w="1202"/>
      </w:tblGrid>
      <w:tr w:rsidR="00540255" w:rsidRPr="00FD168C" w:rsidTr="000C2DAF">
        <w:trPr>
          <w:trHeight w:val="50"/>
          <w:jc w:val="center"/>
        </w:trPr>
        <w:tc>
          <w:tcPr>
            <w:tcW w:w="438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40255" w:rsidRPr="00FD168C" w:rsidRDefault="00540255" w:rsidP="000C2DAF">
            <w:pPr>
              <w:rPr>
                <w:b/>
                <w:bCs/>
                <w:szCs w:val="24"/>
              </w:rPr>
            </w:pPr>
            <w:r w:rsidRPr="00FD168C">
              <w:rPr>
                <w:b/>
                <w:bCs/>
                <w:szCs w:val="24"/>
              </w:rPr>
              <w:t>Especificação</w:t>
            </w:r>
          </w:p>
        </w:tc>
        <w:tc>
          <w:tcPr>
            <w:tcW w:w="61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40255" w:rsidRPr="00FD168C" w:rsidRDefault="00540255" w:rsidP="000C2DAF">
            <w:pPr>
              <w:jc w:val="center"/>
              <w:rPr>
                <w:b/>
                <w:bCs/>
                <w:szCs w:val="24"/>
              </w:rPr>
            </w:pPr>
            <w:r w:rsidRPr="00FD168C">
              <w:rPr>
                <w:b/>
                <w:bCs/>
                <w:szCs w:val="24"/>
              </w:rPr>
              <w:t>Código</w:t>
            </w:r>
          </w:p>
        </w:tc>
      </w:tr>
      <w:tr w:rsidR="00540255" w:rsidRPr="00FD168C" w:rsidTr="000C2DAF">
        <w:trPr>
          <w:trHeight w:val="315"/>
          <w:jc w:val="center"/>
        </w:trPr>
        <w:tc>
          <w:tcPr>
            <w:tcW w:w="4382" w:type="pct"/>
            <w:tcBorders>
              <w:top w:val="single" w:sz="12" w:space="0" w:color="auto"/>
              <w:left w:val="single" w:sz="12" w:space="0" w:color="auto"/>
              <w:bottom w:val="single" w:sz="4" w:space="0" w:color="auto"/>
              <w:right w:val="single" w:sz="4" w:space="0" w:color="auto"/>
            </w:tcBorders>
            <w:shd w:val="clear" w:color="auto" w:fill="auto"/>
            <w:noWrap/>
          </w:tcPr>
          <w:p w:rsidR="00540255" w:rsidRPr="00FD168C" w:rsidRDefault="00540255" w:rsidP="000C2DAF">
            <w:pPr>
              <w:pStyle w:val="Default"/>
              <w:rPr>
                <w:color w:val="auto"/>
              </w:rPr>
            </w:pPr>
            <w:r>
              <w:rPr>
                <w:color w:val="auto"/>
              </w:rPr>
              <w:t xml:space="preserve">Copolímero </w:t>
            </w:r>
            <w:proofErr w:type="spellStart"/>
            <w:r>
              <w:rPr>
                <w:color w:val="auto"/>
              </w:rPr>
              <w:t>Heterofásico</w:t>
            </w:r>
            <w:proofErr w:type="spellEnd"/>
          </w:p>
        </w:tc>
        <w:tc>
          <w:tcPr>
            <w:tcW w:w="618" w:type="pct"/>
            <w:tcBorders>
              <w:top w:val="single" w:sz="12" w:space="0" w:color="auto"/>
              <w:left w:val="single" w:sz="4" w:space="0" w:color="auto"/>
              <w:bottom w:val="single" w:sz="4" w:space="0" w:color="auto"/>
              <w:right w:val="single" w:sz="4" w:space="0" w:color="auto"/>
            </w:tcBorders>
            <w:shd w:val="clear" w:color="auto" w:fill="auto"/>
            <w:noWrap/>
            <w:vAlign w:val="center"/>
          </w:tcPr>
          <w:p w:rsidR="00540255" w:rsidRPr="00FD168C" w:rsidRDefault="00540255" w:rsidP="000C2DAF">
            <w:pPr>
              <w:pStyle w:val="Default"/>
              <w:jc w:val="center"/>
              <w:rPr>
                <w:color w:val="auto"/>
              </w:rPr>
            </w:pPr>
            <w:r>
              <w:rPr>
                <w:color w:val="auto"/>
              </w:rPr>
              <w:t>A</w:t>
            </w:r>
          </w:p>
        </w:tc>
      </w:tr>
      <w:tr w:rsidR="00540255" w:rsidRPr="00FD168C" w:rsidTr="000C2DAF">
        <w:trPr>
          <w:trHeight w:val="315"/>
          <w:jc w:val="center"/>
        </w:trPr>
        <w:tc>
          <w:tcPr>
            <w:tcW w:w="4382" w:type="pct"/>
            <w:tcBorders>
              <w:top w:val="single" w:sz="4" w:space="0" w:color="auto"/>
              <w:left w:val="single" w:sz="12" w:space="0" w:color="auto"/>
              <w:bottom w:val="single" w:sz="4" w:space="0" w:color="auto"/>
              <w:right w:val="single" w:sz="4" w:space="0" w:color="auto"/>
            </w:tcBorders>
            <w:shd w:val="clear" w:color="auto" w:fill="auto"/>
            <w:noWrap/>
          </w:tcPr>
          <w:p w:rsidR="00540255" w:rsidRPr="00FD168C" w:rsidRDefault="00540255" w:rsidP="000C2DAF">
            <w:pPr>
              <w:pStyle w:val="Default"/>
              <w:rPr>
                <w:color w:val="auto"/>
              </w:rPr>
            </w:pPr>
            <w:r>
              <w:rPr>
                <w:color w:val="auto"/>
              </w:rPr>
              <w:t>Copolímero Randômico</w:t>
            </w:r>
          </w:p>
        </w:tc>
        <w:tc>
          <w:tcPr>
            <w:tcW w:w="6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40255" w:rsidRPr="00FD168C" w:rsidRDefault="00540255" w:rsidP="000C2DAF">
            <w:pPr>
              <w:pStyle w:val="Default"/>
              <w:jc w:val="center"/>
              <w:rPr>
                <w:color w:val="auto"/>
              </w:rPr>
            </w:pPr>
            <w:r>
              <w:rPr>
                <w:color w:val="auto"/>
              </w:rPr>
              <w:t>B</w:t>
            </w:r>
          </w:p>
        </w:tc>
      </w:tr>
      <w:tr w:rsidR="00540255" w:rsidRPr="00FD168C" w:rsidTr="000C2DAF">
        <w:trPr>
          <w:trHeight w:val="315"/>
          <w:jc w:val="center"/>
        </w:trPr>
        <w:tc>
          <w:tcPr>
            <w:tcW w:w="4382" w:type="pct"/>
            <w:tcBorders>
              <w:top w:val="single" w:sz="4" w:space="0" w:color="auto"/>
              <w:left w:val="single" w:sz="12" w:space="0" w:color="auto"/>
              <w:bottom w:val="single" w:sz="4" w:space="0" w:color="auto"/>
              <w:right w:val="single" w:sz="4" w:space="0" w:color="auto"/>
            </w:tcBorders>
            <w:shd w:val="clear" w:color="auto" w:fill="auto"/>
            <w:noWrap/>
          </w:tcPr>
          <w:p w:rsidR="00540255" w:rsidRPr="00FD168C" w:rsidRDefault="00540255" w:rsidP="000C2DAF">
            <w:pPr>
              <w:pStyle w:val="Default"/>
              <w:rPr>
                <w:color w:val="auto"/>
              </w:rPr>
            </w:pPr>
            <w:r>
              <w:rPr>
                <w:color w:val="auto"/>
              </w:rPr>
              <w:t xml:space="preserve">Copolímero </w:t>
            </w:r>
            <w:proofErr w:type="spellStart"/>
            <w:r>
              <w:rPr>
                <w:color w:val="auto"/>
              </w:rPr>
              <w:t>Terpolímero</w:t>
            </w:r>
            <w:proofErr w:type="spellEnd"/>
          </w:p>
        </w:tc>
        <w:tc>
          <w:tcPr>
            <w:tcW w:w="6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40255" w:rsidRPr="00FD168C" w:rsidRDefault="00540255" w:rsidP="000C2DAF">
            <w:pPr>
              <w:pStyle w:val="Default"/>
              <w:jc w:val="center"/>
              <w:rPr>
                <w:color w:val="auto"/>
              </w:rPr>
            </w:pPr>
            <w:r>
              <w:rPr>
                <w:color w:val="auto"/>
              </w:rPr>
              <w:t>C</w:t>
            </w:r>
          </w:p>
        </w:tc>
      </w:tr>
    </w:tbl>
    <w:p w:rsidR="00540255" w:rsidRDefault="00540255" w:rsidP="00540255">
      <w:pPr>
        <w:tabs>
          <w:tab w:val="left" w:pos="709"/>
        </w:tabs>
        <w:jc w:val="both"/>
      </w:pPr>
    </w:p>
    <w:p w:rsidR="00540255" w:rsidRDefault="00540255" w:rsidP="00540255">
      <w:pPr>
        <w:tabs>
          <w:tab w:val="left" w:pos="709"/>
        </w:tabs>
        <w:jc w:val="both"/>
      </w:pPr>
      <w:r>
        <w:t>*Exemplos de formulação do CODIP:</w:t>
      </w:r>
    </w:p>
    <w:p w:rsidR="00540255" w:rsidRDefault="00540255" w:rsidP="00540255">
      <w:pPr>
        <w:tabs>
          <w:tab w:val="left" w:pos="709"/>
        </w:tabs>
        <w:jc w:val="both"/>
      </w:pPr>
      <w:r>
        <w:t>Exemplo 1: Resina de PP Homopolímero = CODIP 1</w:t>
      </w:r>
    </w:p>
    <w:p w:rsidR="00540255" w:rsidRPr="009233ED" w:rsidRDefault="00540255" w:rsidP="00540255">
      <w:pPr>
        <w:tabs>
          <w:tab w:val="left" w:pos="709"/>
        </w:tabs>
        <w:jc w:val="both"/>
      </w:pPr>
      <w:r w:rsidRPr="009233ED">
        <w:t xml:space="preserve">Exemplo 2: Resina de PP Copolímero </w:t>
      </w:r>
      <w:proofErr w:type="spellStart"/>
      <w:r w:rsidRPr="009233ED">
        <w:t>Terpolímero</w:t>
      </w:r>
      <w:proofErr w:type="spellEnd"/>
      <w:r w:rsidRPr="009233ED">
        <w:t xml:space="preserve"> = CODIP 2C</w:t>
      </w:r>
    </w:p>
    <w:p w:rsidR="003637BF" w:rsidRPr="009233ED" w:rsidRDefault="003637BF" w:rsidP="004C2FAF">
      <w:pPr>
        <w:ind w:left="-142" w:right="-199"/>
        <w:jc w:val="both"/>
        <w:rPr>
          <w:szCs w:val="24"/>
        </w:rPr>
      </w:pPr>
    </w:p>
    <w:p w:rsidR="003C3068" w:rsidRPr="009233ED" w:rsidRDefault="003C3068" w:rsidP="004C2FAF">
      <w:pPr>
        <w:ind w:left="-142" w:right="-199"/>
        <w:jc w:val="both"/>
        <w:rPr>
          <w:szCs w:val="24"/>
        </w:rPr>
      </w:pPr>
    </w:p>
    <w:p w:rsidR="00997A8F" w:rsidRPr="009233ED" w:rsidRDefault="00997A8F" w:rsidP="00997A8F">
      <w:pPr>
        <w:pStyle w:val="Recuodecorpodetexto3"/>
        <w:ind w:left="-142" w:right="-199"/>
        <w:rPr>
          <w:b/>
          <w:szCs w:val="24"/>
        </w:rPr>
      </w:pPr>
      <w:r w:rsidRPr="009233ED">
        <w:rPr>
          <w:szCs w:val="24"/>
        </w:rPr>
        <w:t>13.</w:t>
      </w:r>
      <w:r w:rsidRPr="009233ED">
        <w:rPr>
          <w:szCs w:val="24"/>
        </w:rPr>
        <w:tab/>
        <w:t xml:space="preserve">Preencher o </w:t>
      </w:r>
      <w:r w:rsidRPr="009233ED">
        <w:rPr>
          <w:b/>
          <w:bCs/>
          <w:szCs w:val="24"/>
        </w:rPr>
        <w:t xml:space="preserve">Apêndice </w:t>
      </w:r>
      <w:r w:rsidR="006C0393" w:rsidRPr="009233ED">
        <w:rPr>
          <w:b/>
          <w:bCs/>
          <w:szCs w:val="24"/>
        </w:rPr>
        <w:t>I</w:t>
      </w:r>
      <w:r w:rsidRPr="009233ED">
        <w:rPr>
          <w:b/>
          <w:bCs/>
          <w:szCs w:val="24"/>
        </w:rPr>
        <w:t>II</w:t>
      </w:r>
      <w:r w:rsidRPr="009233ED">
        <w:rPr>
          <w:szCs w:val="24"/>
        </w:rPr>
        <w:t xml:space="preserve">, no caso desta empresa ter desembaraçado importações, </w:t>
      </w:r>
      <w:r w:rsidRPr="009233ED">
        <w:rPr>
          <w:b/>
          <w:szCs w:val="24"/>
        </w:rPr>
        <w:t xml:space="preserve">de </w:t>
      </w:r>
      <w:proofErr w:type="gramStart"/>
      <w:r w:rsidR="009233ED" w:rsidRPr="009233ED">
        <w:rPr>
          <w:b/>
          <w:szCs w:val="24"/>
        </w:rPr>
        <w:t>Janeiro</w:t>
      </w:r>
      <w:proofErr w:type="gramEnd"/>
      <w:r w:rsidR="009233ED" w:rsidRPr="009233ED">
        <w:rPr>
          <w:b/>
          <w:szCs w:val="24"/>
        </w:rPr>
        <w:t xml:space="preserve"> de 2014 a Dezembro de 2017</w:t>
      </w:r>
      <w:r w:rsidRPr="009233ED">
        <w:rPr>
          <w:b/>
          <w:szCs w:val="24"/>
        </w:rPr>
        <w:t>,</w:t>
      </w:r>
      <w:r w:rsidRPr="009233ED">
        <w:rPr>
          <w:szCs w:val="24"/>
        </w:rPr>
        <w:t xml:space="preserve"> de</w:t>
      </w:r>
      <w:r w:rsidR="009233ED" w:rsidRPr="009233ED">
        <w:rPr>
          <w:szCs w:val="24"/>
        </w:rPr>
        <w:t xml:space="preserve"> resina de PP</w:t>
      </w:r>
      <w:r w:rsidRPr="009233ED">
        <w:rPr>
          <w:b/>
          <w:szCs w:val="24"/>
        </w:rPr>
        <w:t xml:space="preserve"> objeto da </w:t>
      </w:r>
      <w:r w:rsidR="00083000" w:rsidRPr="009233ED">
        <w:rPr>
          <w:b/>
          <w:szCs w:val="24"/>
        </w:rPr>
        <w:t>revisão</w:t>
      </w:r>
      <w:r w:rsidRPr="009233ED">
        <w:rPr>
          <w:szCs w:val="24"/>
        </w:rPr>
        <w:t xml:space="preserve">, comumente </w:t>
      </w:r>
      <w:r w:rsidR="009233ED" w:rsidRPr="009233ED">
        <w:rPr>
          <w:szCs w:val="24"/>
        </w:rPr>
        <w:t xml:space="preserve">classificada nos itens 3902.10.20 e 3902.30.00 da NCM e </w:t>
      </w:r>
      <w:r w:rsidR="009233ED" w:rsidRPr="009233ED">
        <w:rPr>
          <w:bCs/>
          <w:szCs w:val="24"/>
        </w:rPr>
        <w:t xml:space="preserve">originárias </w:t>
      </w:r>
      <w:r w:rsidR="009233ED" w:rsidRPr="009233ED">
        <w:rPr>
          <w:szCs w:val="24"/>
        </w:rPr>
        <w:t>da</w:t>
      </w:r>
      <w:r w:rsidR="009233ED" w:rsidRPr="009233ED">
        <w:rPr>
          <w:b/>
          <w:szCs w:val="24"/>
        </w:rPr>
        <w:t xml:space="preserve"> </w:t>
      </w:r>
      <w:r w:rsidR="009233ED" w:rsidRPr="009233ED">
        <w:rPr>
          <w:szCs w:val="24"/>
        </w:rPr>
        <w:t>África do Sul, da Coreia do Sul e da Índia</w:t>
      </w:r>
      <w:r w:rsidRPr="009233ED">
        <w:rPr>
          <w:b/>
          <w:szCs w:val="24"/>
        </w:rPr>
        <w:t>.</w:t>
      </w:r>
    </w:p>
    <w:p w:rsidR="00997A8F" w:rsidRPr="009233ED" w:rsidRDefault="00997A8F" w:rsidP="00997A8F">
      <w:pPr>
        <w:pStyle w:val="Recuodecorpodetexto3"/>
        <w:ind w:left="-142" w:right="-199"/>
        <w:rPr>
          <w:b/>
          <w:szCs w:val="24"/>
        </w:rPr>
      </w:pPr>
    </w:p>
    <w:p w:rsidR="004B5BB7" w:rsidRPr="009233ED" w:rsidRDefault="00997A8F" w:rsidP="004B5BB7">
      <w:pPr>
        <w:pStyle w:val="Recuodecorpodetexto3"/>
        <w:ind w:left="-142" w:right="-199"/>
        <w:rPr>
          <w:b/>
          <w:szCs w:val="24"/>
        </w:rPr>
      </w:pPr>
      <w:r w:rsidRPr="009233ED">
        <w:rPr>
          <w:szCs w:val="24"/>
        </w:rPr>
        <w:t>1</w:t>
      </w:r>
      <w:r w:rsidR="00546AC7" w:rsidRPr="009233ED">
        <w:rPr>
          <w:szCs w:val="24"/>
        </w:rPr>
        <w:t>4</w:t>
      </w:r>
      <w:r w:rsidRPr="009233ED">
        <w:rPr>
          <w:szCs w:val="24"/>
        </w:rPr>
        <w:t>.</w:t>
      </w:r>
      <w:r w:rsidRPr="009233ED">
        <w:rPr>
          <w:szCs w:val="24"/>
        </w:rPr>
        <w:tab/>
      </w:r>
      <w:r w:rsidR="004B5BB7" w:rsidRPr="009233ED">
        <w:rPr>
          <w:szCs w:val="24"/>
        </w:rPr>
        <w:t xml:space="preserve">O preenchimento dos campos do </w:t>
      </w:r>
      <w:r w:rsidR="004B5BB7" w:rsidRPr="009233ED">
        <w:rPr>
          <w:b/>
          <w:szCs w:val="24"/>
        </w:rPr>
        <w:t xml:space="preserve">Apêndice </w:t>
      </w:r>
      <w:r w:rsidR="006C0393" w:rsidRPr="009233ED">
        <w:rPr>
          <w:b/>
          <w:szCs w:val="24"/>
        </w:rPr>
        <w:t>I</w:t>
      </w:r>
      <w:r w:rsidR="00D93640" w:rsidRPr="009233ED">
        <w:rPr>
          <w:b/>
          <w:szCs w:val="24"/>
        </w:rPr>
        <w:t>I</w:t>
      </w:r>
      <w:r w:rsidR="004B5BB7" w:rsidRPr="009233ED">
        <w:rPr>
          <w:b/>
          <w:szCs w:val="24"/>
        </w:rPr>
        <w:t xml:space="preserve">I </w:t>
      </w:r>
      <w:r w:rsidR="004B5BB7" w:rsidRPr="009233ED">
        <w:rPr>
          <w:szCs w:val="24"/>
        </w:rPr>
        <w:t>deverá ser realizado em conformidade com as instruções abaixo</w:t>
      </w:r>
      <w:r w:rsidRPr="009233ED">
        <w:rPr>
          <w:b/>
          <w:szCs w:val="24"/>
        </w:rPr>
        <w:t>.</w:t>
      </w:r>
    </w:p>
    <w:p w:rsidR="004B5BB7" w:rsidRPr="009233ED" w:rsidRDefault="004B5BB7" w:rsidP="004B5BB7">
      <w:pPr>
        <w:pStyle w:val="Recuodecorpodetexto3"/>
        <w:ind w:left="-142" w:right="-199"/>
        <w:rPr>
          <w:szCs w:val="24"/>
        </w:rPr>
      </w:pPr>
    </w:p>
    <w:p w:rsidR="004B5BB7" w:rsidRPr="009233ED" w:rsidRDefault="00B80B46" w:rsidP="004B5BB7">
      <w:pPr>
        <w:pStyle w:val="Recuodecorpodetexto3"/>
        <w:numPr>
          <w:ilvl w:val="0"/>
          <w:numId w:val="4"/>
        </w:numPr>
        <w:ind w:right="-199"/>
        <w:rPr>
          <w:b/>
          <w:szCs w:val="24"/>
        </w:rPr>
      </w:pPr>
      <w:r w:rsidRPr="009233ED">
        <w:rPr>
          <w:szCs w:val="24"/>
        </w:rPr>
        <w:t>O</w:t>
      </w:r>
      <w:r w:rsidR="004B5BB7" w:rsidRPr="009233ED">
        <w:rPr>
          <w:szCs w:val="24"/>
        </w:rPr>
        <w:t xml:space="preserve">s campos </w:t>
      </w:r>
      <w:r w:rsidR="004B5BB7" w:rsidRPr="009233ED">
        <w:rPr>
          <w:iCs/>
        </w:rPr>
        <w:t>n</w:t>
      </w:r>
      <w:r w:rsidR="004B5BB7" w:rsidRPr="009233ED">
        <w:rPr>
          <w:iCs/>
          <w:u w:val="single"/>
          <w:vertAlign w:val="superscript"/>
        </w:rPr>
        <w:t>os</w:t>
      </w:r>
      <w:r w:rsidR="004B5BB7" w:rsidRPr="009233ED">
        <w:rPr>
          <w:iCs/>
        </w:rPr>
        <w:t xml:space="preserve"> 01 a 0</w:t>
      </w:r>
      <w:r w:rsidR="00D93640" w:rsidRPr="009233ED">
        <w:rPr>
          <w:iCs/>
        </w:rPr>
        <w:t>5</w:t>
      </w:r>
      <w:r w:rsidR="004B5BB7" w:rsidRPr="009233ED">
        <w:rPr>
          <w:iCs/>
        </w:rPr>
        <w:t xml:space="preserve"> deverão ser preenchidos de acordo com os documentos utilizados no desembaraço da mercadoria.</w:t>
      </w:r>
    </w:p>
    <w:p w:rsidR="004B5BB7" w:rsidRPr="009233ED" w:rsidRDefault="004B5BB7" w:rsidP="004B5BB7">
      <w:pPr>
        <w:pStyle w:val="Recuodecorpodetexto3"/>
        <w:ind w:right="-199"/>
        <w:rPr>
          <w:b/>
          <w:szCs w:val="24"/>
        </w:rPr>
      </w:pPr>
    </w:p>
    <w:p w:rsidR="004B5BB7" w:rsidRPr="009233ED" w:rsidRDefault="00B80B46" w:rsidP="004B5BB7">
      <w:pPr>
        <w:pStyle w:val="Recuodecorpodetexto3"/>
        <w:numPr>
          <w:ilvl w:val="0"/>
          <w:numId w:val="4"/>
        </w:numPr>
        <w:ind w:right="-199"/>
        <w:rPr>
          <w:b/>
          <w:szCs w:val="24"/>
        </w:rPr>
      </w:pPr>
      <w:r w:rsidRPr="009233ED">
        <w:rPr>
          <w:szCs w:val="24"/>
        </w:rPr>
        <w:t>O</w:t>
      </w:r>
      <w:r w:rsidR="004B5BB7" w:rsidRPr="009233ED">
        <w:rPr>
          <w:szCs w:val="24"/>
        </w:rPr>
        <w:t xml:space="preserve"> campo </w:t>
      </w:r>
      <w:r w:rsidR="004B5BB7" w:rsidRPr="009233ED">
        <w:rPr>
          <w:iCs/>
        </w:rPr>
        <w:t>n</w:t>
      </w:r>
      <w:r w:rsidR="004B5BB7" w:rsidRPr="009233ED">
        <w:rPr>
          <w:iCs/>
          <w:u w:val="single"/>
          <w:vertAlign w:val="superscript"/>
        </w:rPr>
        <w:t>o</w:t>
      </w:r>
      <w:r w:rsidR="004B5BB7" w:rsidRPr="009233ED">
        <w:rPr>
          <w:iCs/>
        </w:rPr>
        <w:t xml:space="preserve"> </w:t>
      </w:r>
      <w:r w:rsidR="00D93640" w:rsidRPr="009233ED">
        <w:rPr>
          <w:iCs/>
        </w:rPr>
        <w:t>06</w:t>
      </w:r>
      <w:r w:rsidR="004B5BB7" w:rsidRPr="009233ED">
        <w:rPr>
          <w:iCs/>
        </w:rPr>
        <w:t xml:space="preserve"> deve ser preenchido de acordo com a instrução “</w:t>
      </w:r>
      <w:r w:rsidRPr="009233ED">
        <w:rPr>
          <w:iCs/>
        </w:rPr>
        <w:t>c</w:t>
      </w:r>
      <w:r w:rsidR="004B5BB7" w:rsidRPr="009233ED">
        <w:rPr>
          <w:iCs/>
        </w:rPr>
        <w:t>” d</w:t>
      </w:r>
      <w:r w:rsidR="00D93640" w:rsidRPr="009233ED">
        <w:rPr>
          <w:iCs/>
        </w:rPr>
        <w:t xml:space="preserve">e preenchimento do </w:t>
      </w:r>
      <w:r w:rsidR="00D93640" w:rsidRPr="009233ED">
        <w:rPr>
          <w:b/>
          <w:iCs/>
        </w:rPr>
        <w:t>A</w:t>
      </w:r>
      <w:r w:rsidR="004B5BB7" w:rsidRPr="009233ED">
        <w:rPr>
          <w:b/>
          <w:iCs/>
        </w:rPr>
        <w:t xml:space="preserve">pêndice </w:t>
      </w:r>
      <w:r w:rsidR="006C0393" w:rsidRPr="009233ED">
        <w:rPr>
          <w:b/>
          <w:iCs/>
        </w:rPr>
        <w:t>I</w:t>
      </w:r>
      <w:r w:rsidR="004B5BB7" w:rsidRPr="009233ED">
        <w:rPr>
          <w:b/>
          <w:iCs/>
        </w:rPr>
        <w:t>I</w:t>
      </w:r>
      <w:r w:rsidR="004B5BB7" w:rsidRPr="009233ED">
        <w:rPr>
          <w:iCs/>
        </w:rPr>
        <w:t>.</w:t>
      </w:r>
    </w:p>
    <w:p w:rsidR="004B5BB7" w:rsidRPr="009233ED" w:rsidRDefault="004B5BB7" w:rsidP="004B5BB7">
      <w:pPr>
        <w:pStyle w:val="Recuodecorpodetexto3"/>
        <w:ind w:right="-199"/>
        <w:rPr>
          <w:b/>
          <w:szCs w:val="24"/>
        </w:rPr>
      </w:pPr>
    </w:p>
    <w:p w:rsidR="007163A5" w:rsidRDefault="007163A5" w:rsidP="007163A5">
      <w:pPr>
        <w:pStyle w:val="Recuodecorpodetexto3"/>
        <w:ind w:left="-142" w:right="-198"/>
        <w:rPr>
          <w:szCs w:val="24"/>
        </w:rPr>
      </w:pPr>
      <w:proofErr w:type="gramStart"/>
      <w:r w:rsidRPr="009233ED">
        <w:rPr>
          <w:szCs w:val="24"/>
        </w:rPr>
        <w:t>15.</w:t>
      </w:r>
      <w:r w:rsidRPr="009233ED">
        <w:rPr>
          <w:szCs w:val="24"/>
        </w:rPr>
        <w:tab/>
        <w:t>Apresentar</w:t>
      </w:r>
      <w:proofErr w:type="gramEnd"/>
      <w:r w:rsidRPr="009F034F">
        <w:rPr>
          <w:szCs w:val="24"/>
        </w:rPr>
        <w:t xml:space="preserve">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540255">
        <w:rPr>
          <w:szCs w:val="24"/>
        </w:rPr>
        <w:t>2017 e 2018</w:t>
      </w:r>
      <w:r w:rsidRPr="009F034F">
        <w:rPr>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proofErr w:type="gramStart"/>
      <w:r w:rsidRPr="00BA7B70">
        <w:rPr>
          <w:szCs w:val="24"/>
        </w:rPr>
        <w:t>1</w:t>
      </w:r>
      <w:r w:rsidR="007163A5">
        <w:rPr>
          <w:szCs w:val="24"/>
        </w:rPr>
        <w:t>6</w:t>
      </w:r>
      <w:r w:rsidRPr="00BA7B70">
        <w:rPr>
          <w:szCs w:val="24"/>
        </w:rPr>
        <w:t>.</w:t>
      </w:r>
      <w:r w:rsidRPr="00BA7B70">
        <w:rPr>
          <w:szCs w:val="24"/>
        </w:rPr>
        <w:tab/>
      </w:r>
      <w:r w:rsidRPr="00BA7B70">
        <w:t>No</w:t>
      </w:r>
      <w:proofErr w:type="gramEnd"/>
      <w:r w:rsidRPr="00BA7B70">
        <w:t xml:space="preserve">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 xml:space="preserve">inárias </w:t>
      </w:r>
      <w:r w:rsidR="00540255" w:rsidRPr="00540255">
        <w:rPr>
          <w:szCs w:val="24"/>
        </w:rPr>
        <w:t>da</w:t>
      </w:r>
      <w:r w:rsidR="00540255" w:rsidRPr="00540255">
        <w:rPr>
          <w:b/>
          <w:szCs w:val="24"/>
        </w:rPr>
        <w:t xml:space="preserve"> </w:t>
      </w:r>
      <w:r w:rsidR="00540255" w:rsidRPr="00540255">
        <w:rPr>
          <w:szCs w:val="24"/>
        </w:rPr>
        <w:t>África do Sul, da Coreia do Sul e da Índia</w:t>
      </w:r>
      <w:r w:rsidR="00540255" w:rsidRPr="00540255">
        <w:rPr>
          <w:b/>
          <w:szCs w:val="24"/>
        </w:rPr>
        <w:t>.</w:t>
      </w:r>
      <w:r w:rsidRPr="00540255">
        <w:t xml:space="preserve">, </w:t>
      </w:r>
      <w:r w:rsidR="00546AC7" w:rsidRPr="00540255">
        <w:t>preencher</w:t>
      </w:r>
      <w:r w:rsidRPr="00540255">
        <w:t xml:space="preserve"> </w:t>
      </w:r>
      <w:r w:rsidR="00546AC7" w:rsidRPr="00540255">
        <w:t xml:space="preserve">o </w:t>
      </w:r>
      <w:r w:rsidR="00E06566" w:rsidRPr="00540255">
        <w:rPr>
          <w:b/>
        </w:rPr>
        <w:t xml:space="preserve">Apêndice </w:t>
      </w:r>
      <w:r w:rsidR="004F4927" w:rsidRPr="00540255">
        <w:rPr>
          <w:b/>
        </w:rPr>
        <w:t>I</w:t>
      </w:r>
      <w:r w:rsidR="006C0393" w:rsidRPr="00540255">
        <w:rPr>
          <w:b/>
        </w:rPr>
        <w:t>V</w:t>
      </w:r>
      <w:r w:rsidRPr="00540255">
        <w:t xml:space="preserve"> </w:t>
      </w:r>
      <w:r w:rsidR="00546AC7" w:rsidRPr="00540255">
        <w:t xml:space="preserve">para as revendas </w:t>
      </w:r>
      <w:r w:rsidR="00D260EF" w:rsidRPr="00540255">
        <w:t xml:space="preserve">realizadas </w:t>
      </w:r>
      <w:r w:rsidR="0017224D" w:rsidRPr="00540255">
        <w:t>de</w:t>
      </w:r>
      <w:r w:rsidR="00D260EF" w:rsidRPr="00540255">
        <w:t xml:space="preserve"> </w:t>
      </w:r>
      <w:r w:rsidR="00540255" w:rsidRPr="00540255">
        <w:t>Janeiro de 2018 a Dezembro de 2018</w:t>
      </w:r>
      <w:r w:rsidRPr="00540255">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w:t>
      </w:r>
      <w:r w:rsidRPr="00BA7B70">
        <w:rPr>
          <w:szCs w:val="24"/>
        </w:rPr>
        <w:lastRenderedPageBreak/>
        <w:t xml:space="preserve">algum produtor /exportador estrangeiro </w:t>
      </w:r>
      <w:r w:rsidR="009233ED">
        <w:t>d</w:t>
      </w:r>
      <w:r w:rsidR="009F034F">
        <w:t xml:space="preserve">a </w:t>
      </w:r>
      <w:r w:rsidR="009233ED" w:rsidRPr="009233ED">
        <w:rPr>
          <w:szCs w:val="24"/>
        </w:rPr>
        <w:t>África do Sul, da Coreia do Sul e da Índia</w:t>
      </w:r>
      <w:r w:rsidR="009233ED">
        <w:rPr>
          <w:b/>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Default="001A5760" w:rsidP="005E27B5">
      <w:pPr>
        <w:pStyle w:val="Recuodecorpodetexto3"/>
        <w:ind w:left="-142" w:right="-198"/>
        <w:rPr>
          <w:szCs w:val="24"/>
        </w:rPr>
      </w:pPr>
      <w:r>
        <w:rPr>
          <w:szCs w:val="24"/>
        </w:rPr>
        <w:t xml:space="preserve">18. </w:t>
      </w:r>
      <w:proofErr w:type="gramStart"/>
      <w:r>
        <w:rPr>
          <w:szCs w:val="24"/>
        </w:rPr>
        <w:tab/>
        <w:t>No</w:t>
      </w:r>
      <w:proofErr w:type="gramEnd"/>
      <w:r>
        <w:rPr>
          <w:szCs w:val="24"/>
        </w:rPr>
        <w:t xml:space="preserve">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s das datas de</w:t>
      </w:r>
      <w:r w:rsidR="009233ED">
        <w:rPr>
          <w:szCs w:val="24"/>
        </w:rPr>
        <w:t xml:space="preserve"> Janeiro a Dezembro de 2018</w:t>
      </w:r>
      <w:r w:rsidR="004A7538" w:rsidRPr="009233ED">
        <w:rPr>
          <w:szCs w:val="24"/>
        </w:rPr>
        <w:t>.</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9233ED" w:rsidRDefault="00344914" w:rsidP="00344914">
      <w:pPr>
        <w:pStyle w:val="Recuodecorpodetexto3"/>
        <w:ind w:left="2127" w:right="-198" w:hanging="2269"/>
        <w:rPr>
          <w:szCs w:val="24"/>
        </w:rPr>
      </w:pPr>
      <w:r w:rsidRPr="00BA7B70">
        <w:rPr>
          <w:szCs w:val="24"/>
        </w:rPr>
        <w:t>Observação:</w:t>
      </w:r>
      <w:r w:rsidRPr="00BA7B70">
        <w:rPr>
          <w:szCs w:val="24"/>
        </w:rPr>
        <w:tab/>
      </w:r>
      <w:r w:rsidRPr="009233ED">
        <w:rPr>
          <w:szCs w:val="24"/>
        </w:rPr>
        <w:t xml:space="preserve">Informar os códigos comerciais utilizados por sua empresa no curso normal das operações de venda do produto </w:t>
      </w:r>
      <w:r w:rsidR="00167FE5" w:rsidRPr="009233ED">
        <w:rPr>
          <w:szCs w:val="24"/>
        </w:rPr>
        <w:t>em questão</w:t>
      </w:r>
      <w:r w:rsidRPr="009233ED">
        <w:rPr>
          <w:szCs w:val="24"/>
        </w:rPr>
        <w:t>.</w:t>
      </w:r>
    </w:p>
    <w:p w:rsidR="00344914" w:rsidRPr="009233ED" w:rsidRDefault="00344914" w:rsidP="00BD7518">
      <w:pPr>
        <w:pStyle w:val="Recuodecorpodetexto3"/>
        <w:ind w:left="-142" w:right="-198"/>
        <w:rPr>
          <w:szCs w:val="24"/>
        </w:rPr>
      </w:pPr>
    </w:p>
    <w:p w:rsidR="00344914" w:rsidRPr="009233ED" w:rsidRDefault="00344914" w:rsidP="00BD7518">
      <w:pPr>
        <w:pStyle w:val="Recuodecorpodetexto3"/>
        <w:ind w:left="-142" w:right="-198"/>
        <w:rPr>
          <w:b/>
          <w:szCs w:val="24"/>
        </w:rPr>
      </w:pPr>
      <w:r w:rsidRPr="009233ED">
        <w:rPr>
          <w:b/>
          <w:szCs w:val="24"/>
        </w:rPr>
        <w:t>Campo Nº 03.</w:t>
      </w:r>
      <w:r w:rsidR="00426320" w:rsidRPr="009233ED">
        <w:rPr>
          <w:b/>
          <w:szCs w:val="24"/>
        </w:rPr>
        <w:t>2</w:t>
      </w:r>
      <w:r w:rsidRPr="009233ED">
        <w:rPr>
          <w:b/>
          <w:szCs w:val="24"/>
        </w:rPr>
        <w:tab/>
      </w:r>
      <w:r w:rsidRPr="009233ED">
        <w:rPr>
          <w:b/>
          <w:szCs w:val="24"/>
        </w:rPr>
        <w:tab/>
        <w:t>Código de Identificação do Produto (CODIP)</w:t>
      </w:r>
    </w:p>
    <w:p w:rsidR="00344914" w:rsidRPr="009233ED" w:rsidRDefault="00862FD0" w:rsidP="00862FD0">
      <w:pPr>
        <w:pStyle w:val="Recuodecorpodetexto3"/>
        <w:ind w:left="2127" w:right="-198" w:hanging="2269"/>
        <w:rPr>
          <w:szCs w:val="24"/>
        </w:rPr>
      </w:pPr>
      <w:r w:rsidRPr="009233ED">
        <w:rPr>
          <w:szCs w:val="24"/>
        </w:rPr>
        <w:t>Observação:</w:t>
      </w:r>
      <w:r w:rsidRPr="009233ED">
        <w:rPr>
          <w:szCs w:val="24"/>
        </w:rPr>
        <w:tab/>
      </w:r>
      <w:r w:rsidR="00774BEB" w:rsidRPr="009233ED">
        <w:rPr>
          <w:szCs w:val="24"/>
        </w:rPr>
        <w:t>Informar o código de acordo com o especificado no item “</w:t>
      </w:r>
      <w:r w:rsidR="00E24366" w:rsidRPr="009233ED">
        <w:rPr>
          <w:szCs w:val="24"/>
        </w:rPr>
        <w:t>c</w:t>
      </w:r>
      <w:r w:rsidR="00774BEB" w:rsidRPr="009233ED">
        <w:rPr>
          <w:szCs w:val="24"/>
        </w:rPr>
        <w:t xml:space="preserve">” das instruções de preenchimento do Apêndice </w:t>
      </w:r>
      <w:r w:rsidR="006C0393" w:rsidRPr="009233ED">
        <w:rPr>
          <w:szCs w:val="24"/>
        </w:rPr>
        <w:t>I</w:t>
      </w:r>
      <w:r w:rsidR="00774BEB" w:rsidRPr="009233ED">
        <w:rPr>
          <w:szCs w:val="24"/>
        </w:rPr>
        <w:t>I.</w:t>
      </w:r>
      <w:r w:rsidR="00E24366" w:rsidRPr="009233ED">
        <w:rPr>
          <w:szCs w:val="24"/>
        </w:rPr>
        <w:t xml:space="preserve"> </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lastRenderedPageBreak/>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9233ED"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bookmarkStart w:id="3" w:name="_GoBack"/>
    </w:p>
    <w:p w:rsidR="005A3F3A" w:rsidRPr="009233ED" w:rsidRDefault="005A3F3A" w:rsidP="00EA516C">
      <w:pPr>
        <w:pStyle w:val="Recuodecorpodetexto3"/>
        <w:ind w:left="-142" w:right="-198"/>
        <w:rPr>
          <w:szCs w:val="24"/>
        </w:rPr>
      </w:pPr>
    </w:p>
    <w:p w:rsidR="00504DC0" w:rsidRPr="009233ED" w:rsidRDefault="00504DC0" w:rsidP="00BD7518">
      <w:pPr>
        <w:pStyle w:val="Recuodecorpodetexto3"/>
        <w:ind w:left="-142" w:right="-198"/>
        <w:rPr>
          <w:b/>
          <w:szCs w:val="24"/>
        </w:rPr>
      </w:pPr>
      <w:r w:rsidRPr="009233ED">
        <w:rPr>
          <w:b/>
          <w:szCs w:val="24"/>
        </w:rPr>
        <w:t>Campo Nº 10</w:t>
      </w:r>
      <w:r w:rsidR="00175457" w:rsidRPr="009233ED">
        <w:rPr>
          <w:b/>
          <w:szCs w:val="24"/>
        </w:rPr>
        <w:t>.</w:t>
      </w:r>
      <w:r w:rsidR="00426320" w:rsidRPr="009233ED">
        <w:rPr>
          <w:b/>
          <w:szCs w:val="24"/>
        </w:rPr>
        <w:t>1</w:t>
      </w:r>
      <w:r w:rsidRPr="009233ED">
        <w:rPr>
          <w:b/>
          <w:szCs w:val="24"/>
        </w:rPr>
        <w:tab/>
      </w:r>
      <w:r w:rsidRPr="009233ED">
        <w:rPr>
          <w:b/>
          <w:szCs w:val="24"/>
        </w:rPr>
        <w:tab/>
        <w:t>Quantidade (</w:t>
      </w:r>
      <w:r w:rsidR="00516323" w:rsidRPr="009233ED">
        <w:rPr>
          <w:b/>
          <w:szCs w:val="24"/>
        </w:rPr>
        <w:t>preferencialmente unidade de peso</w:t>
      </w:r>
      <w:r w:rsidRPr="009233ED">
        <w:rPr>
          <w:b/>
          <w:szCs w:val="24"/>
        </w:rPr>
        <w:t>)</w:t>
      </w:r>
    </w:p>
    <w:p w:rsidR="00504DC0" w:rsidRPr="009233ED" w:rsidRDefault="00862FD0" w:rsidP="00862FD0">
      <w:pPr>
        <w:pStyle w:val="Recuodecorpodetexto3"/>
        <w:ind w:left="2127" w:right="-198" w:hanging="2269"/>
        <w:rPr>
          <w:szCs w:val="24"/>
        </w:rPr>
      </w:pPr>
      <w:r w:rsidRPr="009233ED">
        <w:rPr>
          <w:szCs w:val="24"/>
        </w:rPr>
        <w:t>Observação:</w:t>
      </w:r>
      <w:r w:rsidRPr="009233ED">
        <w:rPr>
          <w:szCs w:val="24"/>
        </w:rPr>
        <w:tab/>
      </w:r>
      <w:r w:rsidR="00944296" w:rsidRPr="009233ED">
        <w:rPr>
          <w:szCs w:val="24"/>
        </w:rPr>
        <w:t>Informar a quantidade vendida (</w:t>
      </w:r>
      <w:r w:rsidR="00516323" w:rsidRPr="009233ED">
        <w:rPr>
          <w:szCs w:val="24"/>
        </w:rPr>
        <w:t>preferencialmente unidade de peso: kg ou t</w:t>
      </w:r>
      <w:r w:rsidR="00944296" w:rsidRPr="009233ED">
        <w:rPr>
          <w:szCs w:val="24"/>
        </w:rPr>
        <w:t>).</w:t>
      </w:r>
    </w:p>
    <w:p w:rsidR="00944296" w:rsidRPr="009233ED" w:rsidRDefault="00944296" w:rsidP="00BD7518">
      <w:pPr>
        <w:pStyle w:val="Recuodecorpodetexto3"/>
        <w:ind w:left="-142" w:right="-198"/>
        <w:rPr>
          <w:szCs w:val="24"/>
        </w:rPr>
      </w:pPr>
    </w:p>
    <w:p w:rsidR="00504DC0" w:rsidRPr="009233ED" w:rsidRDefault="00175457" w:rsidP="00BD7518">
      <w:pPr>
        <w:pStyle w:val="Recuodecorpodetexto3"/>
        <w:ind w:left="-142" w:right="-198"/>
        <w:rPr>
          <w:b/>
          <w:szCs w:val="24"/>
        </w:rPr>
      </w:pPr>
      <w:r w:rsidRPr="009233ED">
        <w:rPr>
          <w:b/>
          <w:szCs w:val="24"/>
        </w:rPr>
        <w:t>Campo Nº 10.</w:t>
      </w:r>
      <w:r w:rsidR="00426320" w:rsidRPr="009233ED">
        <w:rPr>
          <w:b/>
          <w:szCs w:val="24"/>
        </w:rPr>
        <w:t>2</w:t>
      </w:r>
      <w:r w:rsidR="00504DC0" w:rsidRPr="009233ED">
        <w:rPr>
          <w:b/>
          <w:szCs w:val="24"/>
        </w:rPr>
        <w:tab/>
      </w:r>
      <w:r w:rsidR="00504DC0" w:rsidRPr="009233ED">
        <w:rPr>
          <w:b/>
          <w:szCs w:val="24"/>
        </w:rPr>
        <w:tab/>
        <w:t>Quantidade (unidade de comercialização)</w:t>
      </w:r>
    </w:p>
    <w:p w:rsidR="00504DC0" w:rsidRPr="009233ED" w:rsidRDefault="00944296" w:rsidP="00BD7518">
      <w:pPr>
        <w:pStyle w:val="Recuodecorpodetexto3"/>
        <w:ind w:left="-142" w:right="-198"/>
        <w:rPr>
          <w:szCs w:val="24"/>
        </w:rPr>
      </w:pPr>
      <w:r w:rsidRPr="009233ED">
        <w:rPr>
          <w:szCs w:val="24"/>
        </w:rPr>
        <w:t>Observação:</w:t>
      </w:r>
      <w:r w:rsidRPr="009233ED">
        <w:rPr>
          <w:szCs w:val="24"/>
        </w:rPr>
        <w:tab/>
      </w:r>
      <w:r w:rsidRPr="009233ED">
        <w:rPr>
          <w:szCs w:val="24"/>
        </w:rPr>
        <w:tab/>
        <w:t>Informar a quantidade vendida (na unidade de comercialização).</w:t>
      </w:r>
    </w:p>
    <w:bookmarkEnd w:id="3"/>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lastRenderedPageBreak/>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w:t>
      </w:r>
      <w:r w:rsidR="0090688E" w:rsidRPr="00DC395B">
        <w:rPr>
          <w:szCs w:val="24"/>
        </w:rPr>
        <w:lastRenderedPageBreak/>
        <w:t xml:space="preserve">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599" w:rsidRDefault="00A26599">
      <w:r>
        <w:separator/>
      </w:r>
    </w:p>
  </w:endnote>
  <w:endnote w:type="continuationSeparator" w:id="0">
    <w:p w:rsidR="00A26599" w:rsidRDefault="00A2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233ED">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599" w:rsidRDefault="00A26599">
      <w:r>
        <w:separator/>
      </w:r>
    </w:p>
  </w:footnote>
  <w:footnote w:type="continuationSeparator" w:id="0">
    <w:p w:rsidR="00A26599" w:rsidRDefault="00A26599">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AC2"/>
    <w:multiLevelType w:val="hybridMultilevel"/>
    <w:tmpl w:val="B8ECD22E"/>
    <w:lvl w:ilvl="0" w:tplc="AB30D290">
      <w:start w:val="1"/>
      <w:numFmt w:val="decimal"/>
      <w:lvlText w:val="%1."/>
      <w:lvlJc w:val="left"/>
      <w:pPr>
        <w:tabs>
          <w:tab w:val="num" w:pos="720"/>
        </w:tabs>
        <w:ind w:left="0" w:firstLine="0"/>
      </w:pPr>
      <w:rPr>
        <w:rFonts w:hint="default"/>
        <w:b w:val="0"/>
        <w:i w:val="0"/>
        <w:color w:val="auto"/>
        <w:sz w:val="24"/>
      </w:rPr>
    </w:lvl>
    <w:lvl w:ilvl="1" w:tplc="04160017">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FBB1644"/>
    <w:multiLevelType w:val="hybridMultilevel"/>
    <w:tmpl w:val="BD4489B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3"/>
  </w:num>
  <w:num w:numId="2">
    <w:abstractNumId w:val="1"/>
  </w:num>
  <w:num w:numId="3">
    <w:abstractNumId w:val="2"/>
  </w:num>
  <w:num w:numId="4">
    <w:abstractNumId w:val="4"/>
  </w:num>
  <w:num w:numId="5">
    <w:abstractNumId w:val="5"/>
  </w:num>
  <w:num w:numId="6">
    <w:abstractNumId w:val="0"/>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255"/>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33E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7509A"/>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7F9DDC"/>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fontstyle01">
    <w:name w:val="fontstyle01"/>
    <w:basedOn w:val="Fontepargpadro"/>
    <w:rsid w:val="0097509A"/>
    <w:rPr>
      <w:rFonts w:ascii="Times-Roman" w:hAnsi="Times-Roman"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CC1EA-DD80-4E5B-976F-F499647D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3611</Words>
  <Characters>19503</Characters>
  <Application>Microsoft Office Word</Application>
  <DocSecurity>2</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23068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Daniel Fernandes Raphanelli</cp:lastModifiedBy>
  <cp:revision>8</cp:revision>
  <cp:lastPrinted>2016-05-02T13:35:00Z</cp:lastPrinted>
  <dcterms:created xsi:type="dcterms:W3CDTF">2016-07-13T14:55:00Z</dcterms:created>
  <dcterms:modified xsi:type="dcterms:W3CDTF">2019-09-02T21:52:00Z</dcterms:modified>
</cp:coreProperties>
</file>